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74AF9" w14:textId="0228D297" w:rsidR="00FB1371" w:rsidRDefault="00662265" w:rsidP="00FB1371">
      <w:pPr>
        <w:spacing w:after="0"/>
      </w:pPr>
      <w:r>
        <w:t>Směrnice organizace OS2</w:t>
      </w:r>
      <w:r w:rsidR="004E6A62">
        <w:t xml:space="preserve"> </w:t>
      </w:r>
      <w:r w:rsidR="00E63E64">
        <w:t>0</w:t>
      </w:r>
      <w:r w:rsidR="001C29B7">
        <w:t>3</w:t>
      </w:r>
    </w:p>
    <w:p w14:paraId="54741C2E" w14:textId="77777777" w:rsidR="00FB1371" w:rsidRDefault="00FB1371" w:rsidP="00FB1371">
      <w:pPr>
        <w:spacing w:after="0"/>
      </w:pPr>
    </w:p>
    <w:p w14:paraId="0569F5DE" w14:textId="4A396EF1" w:rsidR="00FB1371" w:rsidRDefault="00662265" w:rsidP="009306A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Stanovení úhrad</w:t>
      </w:r>
      <w:r w:rsidR="009306A6">
        <w:rPr>
          <w:b/>
          <w:sz w:val="32"/>
          <w:szCs w:val="32"/>
        </w:rPr>
        <w:t xml:space="preserve"> a způsob účtování</w:t>
      </w:r>
      <w:r>
        <w:rPr>
          <w:b/>
          <w:sz w:val="32"/>
          <w:szCs w:val="32"/>
        </w:rPr>
        <w:t xml:space="preserve"> </w:t>
      </w:r>
      <w:r w:rsidR="009306A6">
        <w:rPr>
          <w:b/>
          <w:sz w:val="32"/>
          <w:szCs w:val="32"/>
        </w:rPr>
        <w:t>úhrad</w:t>
      </w:r>
      <w:r>
        <w:rPr>
          <w:b/>
          <w:sz w:val="32"/>
          <w:szCs w:val="32"/>
        </w:rPr>
        <w:t xml:space="preserve"> v Domově</w:t>
      </w:r>
    </w:p>
    <w:p w14:paraId="4D0A015E" w14:textId="77777777" w:rsidR="00FB1371" w:rsidRPr="0042528E" w:rsidRDefault="00FB1371" w:rsidP="00FB1371">
      <w:pPr>
        <w:spacing w:after="0"/>
        <w:rPr>
          <w:b/>
        </w:rPr>
      </w:pPr>
    </w:p>
    <w:p w14:paraId="13E34413" w14:textId="77777777" w:rsidR="00FB1371" w:rsidRDefault="00FB1371" w:rsidP="00FB1371">
      <w:pPr>
        <w:spacing w:after="0"/>
      </w:pPr>
      <w:r>
        <w:t>Obsah:</w:t>
      </w:r>
    </w:p>
    <w:p w14:paraId="10B746FA" w14:textId="77777777" w:rsidR="00FB1371" w:rsidRDefault="00FB1371" w:rsidP="00FB1371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7087"/>
        <w:gridCol w:w="1166"/>
      </w:tblGrid>
      <w:tr w:rsidR="00FB1371" w14:paraId="1CC0ED5D" w14:textId="77777777" w:rsidTr="001E5B2E">
        <w:tc>
          <w:tcPr>
            <w:tcW w:w="959" w:type="dxa"/>
          </w:tcPr>
          <w:p w14:paraId="622A8F87" w14:textId="77777777" w:rsidR="00FB1371" w:rsidRDefault="00FB1371" w:rsidP="001E5B2E">
            <w:r>
              <w:t>1.</w:t>
            </w:r>
          </w:p>
        </w:tc>
        <w:tc>
          <w:tcPr>
            <w:tcW w:w="7087" w:type="dxa"/>
          </w:tcPr>
          <w:p w14:paraId="15D11C6A" w14:textId="77777777" w:rsidR="00FB1371" w:rsidRDefault="00662265" w:rsidP="001E5B2E">
            <w:r>
              <w:t>Úvodní ustanovení</w:t>
            </w:r>
          </w:p>
        </w:tc>
        <w:tc>
          <w:tcPr>
            <w:tcW w:w="1166" w:type="dxa"/>
          </w:tcPr>
          <w:p w14:paraId="123BD757" w14:textId="77777777" w:rsidR="00FB1371" w:rsidRDefault="00FB1371" w:rsidP="001E5B2E">
            <w:r>
              <w:t>str. 1</w:t>
            </w:r>
          </w:p>
        </w:tc>
      </w:tr>
      <w:tr w:rsidR="00FB1371" w14:paraId="104417A4" w14:textId="77777777" w:rsidTr="001E5B2E">
        <w:tc>
          <w:tcPr>
            <w:tcW w:w="959" w:type="dxa"/>
          </w:tcPr>
          <w:p w14:paraId="305ECA93" w14:textId="77777777" w:rsidR="00FB1371" w:rsidRDefault="00FB1371" w:rsidP="001E5B2E">
            <w:r>
              <w:t>2.</w:t>
            </w:r>
          </w:p>
        </w:tc>
        <w:tc>
          <w:tcPr>
            <w:tcW w:w="7087" w:type="dxa"/>
          </w:tcPr>
          <w:p w14:paraId="3F8E2F50" w14:textId="3F5BF3F5" w:rsidR="00FB1371" w:rsidRDefault="008F2543" w:rsidP="001E5B2E">
            <w:r>
              <w:t>Stanovení úhrad</w:t>
            </w:r>
          </w:p>
        </w:tc>
        <w:tc>
          <w:tcPr>
            <w:tcW w:w="1166" w:type="dxa"/>
          </w:tcPr>
          <w:p w14:paraId="4CB9D598" w14:textId="77777777" w:rsidR="00FB1371" w:rsidRDefault="00FB1371" w:rsidP="001E5B2E">
            <w:r>
              <w:t>str. 1</w:t>
            </w:r>
          </w:p>
        </w:tc>
      </w:tr>
      <w:tr w:rsidR="008F2543" w14:paraId="783594EC" w14:textId="77777777" w:rsidTr="001E5B2E">
        <w:tc>
          <w:tcPr>
            <w:tcW w:w="959" w:type="dxa"/>
          </w:tcPr>
          <w:p w14:paraId="13DD2917" w14:textId="0547ACFA" w:rsidR="008F2543" w:rsidRDefault="008F2543" w:rsidP="001E5B2E">
            <w:r>
              <w:t>3.</w:t>
            </w:r>
          </w:p>
        </w:tc>
        <w:tc>
          <w:tcPr>
            <w:tcW w:w="7087" w:type="dxa"/>
          </w:tcPr>
          <w:p w14:paraId="267E0C55" w14:textId="2E0BBC23" w:rsidR="008F2543" w:rsidRDefault="008F2543" w:rsidP="001E5B2E">
            <w:r>
              <w:t>Způsob účtování úhrad</w:t>
            </w:r>
          </w:p>
        </w:tc>
        <w:tc>
          <w:tcPr>
            <w:tcW w:w="1166" w:type="dxa"/>
          </w:tcPr>
          <w:p w14:paraId="4CABDC77" w14:textId="7D8B6274" w:rsidR="008F2543" w:rsidRDefault="008F2543" w:rsidP="001E5B2E">
            <w:r>
              <w:t xml:space="preserve">str. 2 </w:t>
            </w:r>
          </w:p>
        </w:tc>
      </w:tr>
      <w:tr w:rsidR="008F2543" w14:paraId="2CA06E56" w14:textId="77777777" w:rsidTr="001E5B2E">
        <w:tc>
          <w:tcPr>
            <w:tcW w:w="959" w:type="dxa"/>
          </w:tcPr>
          <w:p w14:paraId="44934E61" w14:textId="493C76D2" w:rsidR="008F2543" w:rsidRDefault="008F2543" w:rsidP="001E5B2E">
            <w:r>
              <w:t>4.</w:t>
            </w:r>
          </w:p>
        </w:tc>
        <w:tc>
          <w:tcPr>
            <w:tcW w:w="7087" w:type="dxa"/>
          </w:tcPr>
          <w:p w14:paraId="6232C643" w14:textId="2D001C19" w:rsidR="008F2543" w:rsidRDefault="008F2543" w:rsidP="001E5B2E">
            <w:r>
              <w:t>Vratky</w:t>
            </w:r>
          </w:p>
        </w:tc>
        <w:tc>
          <w:tcPr>
            <w:tcW w:w="1166" w:type="dxa"/>
          </w:tcPr>
          <w:p w14:paraId="50ECEF2D" w14:textId="1928B29C" w:rsidR="008F2543" w:rsidRDefault="008F2543" w:rsidP="001E5B2E">
            <w:r>
              <w:t xml:space="preserve">str. 3 </w:t>
            </w:r>
          </w:p>
        </w:tc>
      </w:tr>
      <w:tr w:rsidR="008F2543" w14:paraId="1CBF271E" w14:textId="77777777" w:rsidTr="001E5B2E">
        <w:tc>
          <w:tcPr>
            <w:tcW w:w="959" w:type="dxa"/>
          </w:tcPr>
          <w:p w14:paraId="2ECF7662" w14:textId="6F048CA2" w:rsidR="008F2543" w:rsidRDefault="008F2543" w:rsidP="001E5B2E">
            <w:r>
              <w:t>5.</w:t>
            </w:r>
          </w:p>
        </w:tc>
        <w:tc>
          <w:tcPr>
            <w:tcW w:w="7087" w:type="dxa"/>
          </w:tcPr>
          <w:p w14:paraId="67FD6A83" w14:textId="750E1E77" w:rsidR="008F2543" w:rsidRDefault="008F2543" w:rsidP="001E5B2E">
            <w:r>
              <w:t>Závěrečné ustanovení</w:t>
            </w:r>
          </w:p>
        </w:tc>
        <w:tc>
          <w:tcPr>
            <w:tcW w:w="1166" w:type="dxa"/>
          </w:tcPr>
          <w:p w14:paraId="7FEC066B" w14:textId="62D73031" w:rsidR="008F2543" w:rsidRDefault="008F2543" w:rsidP="001E5B2E">
            <w:r>
              <w:t>str. 3</w:t>
            </w:r>
          </w:p>
        </w:tc>
      </w:tr>
      <w:tr w:rsidR="00FB1371" w14:paraId="6B005036" w14:textId="77777777" w:rsidTr="001E5B2E">
        <w:tc>
          <w:tcPr>
            <w:tcW w:w="959" w:type="dxa"/>
          </w:tcPr>
          <w:p w14:paraId="1F4BA5E1" w14:textId="3E58F1E2" w:rsidR="00FB1371" w:rsidRDefault="008F2543" w:rsidP="001E5B2E">
            <w:r>
              <w:t>6</w:t>
            </w:r>
            <w:r w:rsidR="00FB1371">
              <w:t>.</w:t>
            </w:r>
          </w:p>
        </w:tc>
        <w:tc>
          <w:tcPr>
            <w:tcW w:w="7087" w:type="dxa"/>
          </w:tcPr>
          <w:p w14:paraId="34275E2A" w14:textId="24D6E7C5" w:rsidR="00FB1371" w:rsidRDefault="008F2543" w:rsidP="001E5B2E">
            <w:r>
              <w:t xml:space="preserve">Příloha č. 1 – Sazby úhrad za sjednané služby od 1. </w:t>
            </w:r>
            <w:r w:rsidR="00BF6C92">
              <w:t>1</w:t>
            </w:r>
            <w:r>
              <w:t>. 202</w:t>
            </w:r>
            <w:r w:rsidR="00544DBF">
              <w:t>4</w:t>
            </w:r>
          </w:p>
        </w:tc>
        <w:tc>
          <w:tcPr>
            <w:tcW w:w="1166" w:type="dxa"/>
          </w:tcPr>
          <w:p w14:paraId="6554384A" w14:textId="557E4690" w:rsidR="00FB1371" w:rsidRDefault="00FB1371" w:rsidP="001E5B2E">
            <w:r>
              <w:t xml:space="preserve">str. </w:t>
            </w:r>
            <w:r w:rsidR="008F2543">
              <w:t>4</w:t>
            </w:r>
          </w:p>
        </w:tc>
      </w:tr>
      <w:tr w:rsidR="006F3C6F" w14:paraId="57D3116A" w14:textId="77777777" w:rsidTr="001E5B2E">
        <w:tc>
          <w:tcPr>
            <w:tcW w:w="959" w:type="dxa"/>
          </w:tcPr>
          <w:p w14:paraId="061225F3" w14:textId="38D6777F" w:rsidR="006F3C6F" w:rsidRDefault="008F2543" w:rsidP="001E5B2E">
            <w:r>
              <w:t>7</w:t>
            </w:r>
            <w:r w:rsidR="006F3C6F">
              <w:t>.</w:t>
            </w:r>
          </w:p>
        </w:tc>
        <w:tc>
          <w:tcPr>
            <w:tcW w:w="7087" w:type="dxa"/>
          </w:tcPr>
          <w:p w14:paraId="01469859" w14:textId="77777777" w:rsidR="006F3C6F" w:rsidRDefault="006F3C6F" w:rsidP="001E5B2E">
            <w:r>
              <w:t>Přehled změn</w:t>
            </w:r>
          </w:p>
        </w:tc>
        <w:tc>
          <w:tcPr>
            <w:tcW w:w="1166" w:type="dxa"/>
          </w:tcPr>
          <w:p w14:paraId="0C4F433C" w14:textId="6FEFDA0D" w:rsidR="006F3C6F" w:rsidRDefault="00DC6259" w:rsidP="001E5B2E">
            <w:r>
              <w:t xml:space="preserve">str. </w:t>
            </w:r>
            <w:r w:rsidR="008F2543">
              <w:t>6</w:t>
            </w:r>
          </w:p>
        </w:tc>
      </w:tr>
    </w:tbl>
    <w:p w14:paraId="574FF2D3" w14:textId="40916578" w:rsidR="00FB1371" w:rsidRDefault="00FB1371" w:rsidP="00FB1371">
      <w:pPr>
        <w:spacing w:after="0"/>
      </w:pPr>
    </w:p>
    <w:p w14:paraId="24EE944C" w14:textId="157E22B3" w:rsidR="00E32EEC" w:rsidRPr="00E32EEC" w:rsidRDefault="00E32EEC" w:rsidP="00E63E64">
      <w:pPr>
        <w:spacing w:after="0"/>
        <w:jc w:val="both"/>
        <w:rPr>
          <w:b/>
          <w:bCs/>
        </w:rPr>
      </w:pPr>
      <w:r w:rsidRPr="00E32EEC">
        <w:rPr>
          <w:b/>
          <w:bCs/>
        </w:rPr>
        <w:t>Dokument je určen:</w:t>
      </w:r>
    </w:p>
    <w:p w14:paraId="2305EFCB" w14:textId="5C7A8B4D" w:rsidR="00E32EEC" w:rsidRDefault="00E32EEC" w:rsidP="00E63E64">
      <w:pPr>
        <w:pStyle w:val="Odstavecseseznamem"/>
        <w:numPr>
          <w:ilvl w:val="0"/>
          <w:numId w:val="25"/>
        </w:numPr>
        <w:spacing w:after="0"/>
        <w:jc w:val="both"/>
      </w:pPr>
      <w:r>
        <w:t>Všem zaměstnancům Domova</w:t>
      </w:r>
    </w:p>
    <w:p w14:paraId="643EF564" w14:textId="08945B54" w:rsidR="00E63E64" w:rsidRDefault="00E63E64" w:rsidP="00E63E64">
      <w:pPr>
        <w:pStyle w:val="Odstavecseseznamem"/>
        <w:numPr>
          <w:ilvl w:val="0"/>
          <w:numId w:val="25"/>
        </w:numPr>
        <w:spacing w:after="0"/>
        <w:jc w:val="both"/>
      </w:pPr>
      <w:r>
        <w:t>Všem klientům Domova</w:t>
      </w:r>
    </w:p>
    <w:p w14:paraId="3E804EA7" w14:textId="0C6A59BA" w:rsidR="00E63E64" w:rsidRDefault="00E63E64" w:rsidP="00E63E64">
      <w:pPr>
        <w:pStyle w:val="Odstavecseseznamem"/>
        <w:numPr>
          <w:ilvl w:val="0"/>
          <w:numId w:val="25"/>
        </w:numPr>
        <w:spacing w:after="0"/>
        <w:jc w:val="both"/>
      </w:pPr>
      <w:r>
        <w:t>Všem opatrovníkům a zákonným zástupcům klientů Domova</w:t>
      </w:r>
    </w:p>
    <w:p w14:paraId="405907A0" w14:textId="77777777" w:rsidR="00E32EEC" w:rsidRDefault="00E32EEC" w:rsidP="00E32EEC">
      <w:pPr>
        <w:pStyle w:val="Odstavecseseznamem"/>
        <w:spacing w:after="0"/>
      </w:pPr>
    </w:p>
    <w:p w14:paraId="31236C9C" w14:textId="77777777" w:rsidR="00FB1371" w:rsidRDefault="00662265" w:rsidP="00FB1371">
      <w:pPr>
        <w:spacing w:after="0"/>
        <w:rPr>
          <w:b/>
        </w:rPr>
      </w:pPr>
      <w:r>
        <w:rPr>
          <w:b/>
        </w:rPr>
        <w:t>1. Úvodní ustanovení</w:t>
      </w:r>
    </w:p>
    <w:p w14:paraId="7731A392" w14:textId="58F80D72" w:rsidR="00B23EB0" w:rsidRDefault="00B23EB0" w:rsidP="00662265">
      <w:pPr>
        <w:spacing w:after="23" w:line="259" w:lineRule="auto"/>
        <w:jc w:val="both"/>
      </w:pPr>
    </w:p>
    <w:p w14:paraId="5829ACC5" w14:textId="49327FD6" w:rsidR="00E0474D" w:rsidRPr="00B23EB0" w:rsidRDefault="00662265" w:rsidP="00E63E64">
      <w:pPr>
        <w:spacing w:after="0" w:line="259" w:lineRule="auto"/>
        <w:jc w:val="both"/>
        <w:rPr>
          <w:bCs/>
        </w:rPr>
      </w:pPr>
      <w:r>
        <w:t xml:space="preserve">Tato směrnice stanovuje úhrady za poskytnutí ubytování klientů podle </w:t>
      </w:r>
      <w:r w:rsidR="00B23EB0">
        <w:t>V</w:t>
      </w:r>
      <w:r>
        <w:t>yhlášky</w:t>
      </w:r>
      <w:r w:rsidR="00B23EB0">
        <w:t xml:space="preserve"> </w:t>
      </w:r>
      <w:r>
        <w:t>č. 505/2006 Sb., v</w:t>
      </w:r>
      <w:r w:rsidR="00B23EB0">
        <w:t>e znění pozdějších předpisů (dále jen vyhláška)</w:t>
      </w:r>
      <w:r>
        <w:t>, kterou se provádějí některá ustanovení zákona o sociálních službách</w:t>
      </w:r>
      <w:r w:rsidR="00E0474D">
        <w:t>, která stanoví ma</w:t>
      </w:r>
      <w:r w:rsidR="00E0474D">
        <w:rPr>
          <w:bCs/>
        </w:rPr>
        <w:t xml:space="preserve">ximální výši úhrady za ubytování a stravu. </w:t>
      </w:r>
    </w:p>
    <w:p w14:paraId="31C17A17" w14:textId="77777777" w:rsidR="00B23EB0" w:rsidRDefault="00B23EB0" w:rsidP="00E63E64">
      <w:pPr>
        <w:spacing w:after="0" w:line="259" w:lineRule="auto"/>
        <w:jc w:val="both"/>
      </w:pPr>
    </w:p>
    <w:p w14:paraId="16A32D97" w14:textId="0F29DB65" w:rsidR="00B23EB0" w:rsidRDefault="00B23EB0" w:rsidP="00E63E64">
      <w:pPr>
        <w:spacing w:after="0" w:line="259" w:lineRule="auto"/>
        <w:jc w:val="both"/>
      </w:pPr>
      <w:r>
        <w:t>Dle ustanovení § 73 zákona č. 108/2006 Sb. o sociálních službách, ve znění pozdějších předpisů (dále jen zákon) hradí osoba za pobytové služby poskytované v domovech pro osoby se zdravotním postižením</w:t>
      </w:r>
      <w:r w:rsidR="000533E9">
        <w:t xml:space="preserve"> (dále jen Domov)</w:t>
      </w:r>
      <w:r>
        <w:t xml:space="preserve"> (§ 48) úhradu – za ubytování, za stravu a za péči poskytovanou ve sjednaném rozsahu.</w:t>
      </w:r>
    </w:p>
    <w:p w14:paraId="45D8DD27" w14:textId="77777777" w:rsidR="00B23EB0" w:rsidRDefault="00B23EB0" w:rsidP="00E63E64">
      <w:pPr>
        <w:spacing w:after="0" w:line="259" w:lineRule="auto"/>
        <w:jc w:val="both"/>
      </w:pPr>
    </w:p>
    <w:p w14:paraId="7AB6B303" w14:textId="6992A13C" w:rsidR="00B23EB0" w:rsidRDefault="00B23EB0" w:rsidP="00E63E64">
      <w:pPr>
        <w:spacing w:after="23" w:line="259" w:lineRule="auto"/>
        <w:jc w:val="both"/>
      </w:pPr>
      <w:r>
        <w:t>Dle ustanovení § 91 zákona uzavírá osoba písemnou smlouvu s poskytovatelem sociálních služeb o poskytnutí sociální služby</w:t>
      </w:r>
      <w:r w:rsidR="00422456">
        <w:t xml:space="preserve"> (dále jen smlouva)</w:t>
      </w:r>
      <w:r>
        <w:t>.</w:t>
      </w:r>
    </w:p>
    <w:p w14:paraId="7503F405" w14:textId="77777777" w:rsidR="00662265" w:rsidRDefault="00662265" w:rsidP="00E63E64">
      <w:pPr>
        <w:spacing w:after="23" w:line="259" w:lineRule="auto"/>
        <w:jc w:val="both"/>
      </w:pPr>
    </w:p>
    <w:p w14:paraId="54E85B7F" w14:textId="130F5577" w:rsidR="00B23EB0" w:rsidRDefault="00E63E64" w:rsidP="00B23EB0">
      <w:pPr>
        <w:spacing w:after="0" w:line="259" w:lineRule="auto"/>
        <w:rPr>
          <w:b/>
        </w:rPr>
      </w:pPr>
      <w:r>
        <w:rPr>
          <w:b/>
        </w:rPr>
        <w:t>2</w:t>
      </w:r>
      <w:r w:rsidR="00B23EB0">
        <w:rPr>
          <w:b/>
        </w:rPr>
        <w:t>. Stanovení úhrad</w:t>
      </w:r>
    </w:p>
    <w:p w14:paraId="3AE3F473" w14:textId="5625B1F9" w:rsidR="00B23EB0" w:rsidRDefault="00B23EB0" w:rsidP="00422456">
      <w:pPr>
        <w:spacing w:after="0" w:line="259" w:lineRule="auto"/>
        <w:jc w:val="both"/>
        <w:rPr>
          <w:bCs/>
        </w:rPr>
      </w:pPr>
    </w:p>
    <w:p w14:paraId="7F298142" w14:textId="5CB132E9" w:rsidR="00B23EB0" w:rsidRDefault="00B23EB0" w:rsidP="00422456">
      <w:pPr>
        <w:spacing w:after="0" w:line="259" w:lineRule="auto"/>
        <w:jc w:val="both"/>
        <w:rPr>
          <w:bCs/>
        </w:rPr>
      </w:pPr>
      <w:r>
        <w:rPr>
          <w:bCs/>
        </w:rPr>
        <w:t xml:space="preserve">Za poskytované sociální služby je povinností </w:t>
      </w:r>
      <w:r w:rsidR="00422456">
        <w:rPr>
          <w:bCs/>
        </w:rPr>
        <w:t xml:space="preserve">Domov </w:t>
      </w:r>
      <w:r>
        <w:rPr>
          <w:bCs/>
        </w:rPr>
        <w:t xml:space="preserve">vždy vyúčtovat </w:t>
      </w:r>
      <w:r w:rsidR="00E63E64">
        <w:rPr>
          <w:bCs/>
        </w:rPr>
        <w:t>klientovi</w:t>
      </w:r>
      <w:r>
        <w:rPr>
          <w:bCs/>
        </w:rPr>
        <w:t xml:space="preserve"> úhradu za kalendářní měsíc, a to ve stanovený termín dle smlouvy.</w:t>
      </w:r>
    </w:p>
    <w:p w14:paraId="0B0F0A54" w14:textId="5B0BFD13" w:rsidR="000533E9" w:rsidRDefault="000533E9" w:rsidP="00422456">
      <w:pPr>
        <w:spacing w:after="0" w:line="259" w:lineRule="auto"/>
        <w:jc w:val="both"/>
        <w:rPr>
          <w:bCs/>
        </w:rPr>
      </w:pPr>
    </w:p>
    <w:p w14:paraId="75F8A375" w14:textId="06A5E964" w:rsidR="000533E9" w:rsidRDefault="000533E9" w:rsidP="00422456">
      <w:pPr>
        <w:spacing w:after="0" w:line="259" w:lineRule="auto"/>
        <w:jc w:val="both"/>
        <w:rPr>
          <w:bCs/>
        </w:rPr>
      </w:pPr>
      <w:r>
        <w:rPr>
          <w:bCs/>
        </w:rPr>
        <w:t xml:space="preserve">Za pobytové služby poskytované nezaopatřenému dítě v Domově hradí rodiče dítěte nebo rodič, kterému bylo dítě svěřeno rozhodnutím soudu do péče, popřípadě jiná fyzická osoba povinna výživou dítěte, úhradu za stravu a za péči poskytovanou ve sjednaném rozsahu. Je-li dítě do Domova umístěno na základě rozhodnutí soudu o nařízení ústavní výchovy, výchovného opatření nebo předběžného opatření, stanoví úhradu za stravu a péči rozhodnutím obecní úřad s rozšířenou působností </w:t>
      </w:r>
      <w:r w:rsidR="006A415F">
        <w:rPr>
          <w:bCs/>
        </w:rPr>
        <w:t xml:space="preserve">nebo soud </w:t>
      </w:r>
      <w:r>
        <w:rPr>
          <w:bCs/>
        </w:rPr>
        <w:t xml:space="preserve">příslušný podle místa trvalého nebo hlášeného pobytu dítěte. Rodiče se na hrazení podílejí rovným dílem, není-li dále stanoveno jinak. </w:t>
      </w:r>
    </w:p>
    <w:p w14:paraId="4B312B02" w14:textId="384BB89B" w:rsidR="000533E9" w:rsidRDefault="000533E9" w:rsidP="00422456">
      <w:pPr>
        <w:spacing w:after="0" w:line="259" w:lineRule="auto"/>
        <w:jc w:val="both"/>
        <w:rPr>
          <w:bCs/>
        </w:rPr>
      </w:pPr>
    </w:p>
    <w:p w14:paraId="4BF5D3B8" w14:textId="667F51D0" w:rsidR="000533E9" w:rsidRDefault="000533E9" w:rsidP="00422456">
      <w:pPr>
        <w:spacing w:after="0" w:line="259" w:lineRule="auto"/>
        <w:jc w:val="both"/>
        <w:rPr>
          <w:bCs/>
        </w:rPr>
      </w:pPr>
      <w:r>
        <w:rPr>
          <w:bCs/>
        </w:rPr>
        <w:t xml:space="preserve">Sazby úhrad za </w:t>
      </w:r>
      <w:r w:rsidR="00E0474D">
        <w:rPr>
          <w:bCs/>
        </w:rPr>
        <w:t xml:space="preserve">sjednané služby </w:t>
      </w:r>
      <w:r>
        <w:rPr>
          <w:bCs/>
        </w:rPr>
        <w:t>jsou přílohou č. 1 této směrnice.</w:t>
      </w:r>
    </w:p>
    <w:p w14:paraId="4C2E9C3F" w14:textId="77777777" w:rsidR="00E0474D" w:rsidRDefault="00E0474D" w:rsidP="00422456">
      <w:pPr>
        <w:spacing w:after="0" w:line="259" w:lineRule="auto"/>
        <w:jc w:val="both"/>
        <w:rPr>
          <w:bCs/>
        </w:rPr>
      </w:pPr>
    </w:p>
    <w:p w14:paraId="65199DEF" w14:textId="640FC612" w:rsidR="00E0474D" w:rsidRDefault="00E0474D" w:rsidP="00422456">
      <w:pPr>
        <w:spacing w:after="0" w:line="259" w:lineRule="auto"/>
        <w:jc w:val="both"/>
        <w:rPr>
          <w:bCs/>
        </w:rPr>
      </w:pPr>
      <w:r>
        <w:rPr>
          <w:bCs/>
        </w:rPr>
        <w:t>Stanovení výše úhrad za službu je odvozeno z provedené kalkulace nákladů za jednotlivé služby:</w:t>
      </w:r>
    </w:p>
    <w:p w14:paraId="39094658" w14:textId="77777777" w:rsidR="00422456" w:rsidRDefault="00E0474D" w:rsidP="00422456">
      <w:pPr>
        <w:pStyle w:val="Odstavecseseznamem"/>
        <w:numPr>
          <w:ilvl w:val="0"/>
          <w:numId w:val="27"/>
        </w:numPr>
        <w:spacing w:after="0" w:line="259" w:lineRule="auto"/>
        <w:jc w:val="both"/>
        <w:rPr>
          <w:bCs/>
        </w:rPr>
      </w:pPr>
      <w:r w:rsidRPr="00422456">
        <w:rPr>
          <w:bCs/>
        </w:rPr>
        <w:t>u ubytování – cena za ubytování, dále pak úklid, praní, drobné opravy ložního a osobního prádla a ošacení, žehlení,</w:t>
      </w:r>
    </w:p>
    <w:p w14:paraId="63EB647A" w14:textId="77777777" w:rsidR="00422456" w:rsidRDefault="00E0474D" w:rsidP="00422456">
      <w:pPr>
        <w:pStyle w:val="Odstavecseseznamem"/>
        <w:numPr>
          <w:ilvl w:val="0"/>
          <w:numId w:val="27"/>
        </w:numPr>
        <w:spacing w:after="0" w:line="259" w:lineRule="auto"/>
        <w:jc w:val="both"/>
        <w:rPr>
          <w:bCs/>
        </w:rPr>
      </w:pPr>
      <w:r w:rsidRPr="00422456">
        <w:rPr>
          <w:bCs/>
        </w:rPr>
        <w:t>u stravy – cena za potraviny, včetně provozních nákladů souvisejících s přípravou stravy,</w:t>
      </w:r>
    </w:p>
    <w:p w14:paraId="0A3ABFFA" w14:textId="587A98ED" w:rsidR="00E0474D" w:rsidRDefault="00E0474D" w:rsidP="00422456">
      <w:pPr>
        <w:pStyle w:val="Odstavecseseznamem"/>
        <w:numPr>
          <w:ilvl w:val="0"/>
          <w:numId w:val="27"/>
        </w:numPr>
        <w:spacing w:after="0" w:line="259" w:lineRule="auto"/>
        <w:jc w:val="both"/>
        <w:rPr>
          <w:bCs/>
        </w:rPr>
      </w:pPr>
      <w:r w:rsidRPr="00422456">
        <w:rPr>
          <w:bCs/>
        </w:rPr>
        <w:t>úhrada za péči se stanoví ve výši přiznaného příspěvku za péči</w:t>
      </w:r>
      <w:r w:rsidR="00422456" w:rsidRPr="00422456">
        <w:rPr>
          <w:bCs/>
        </w:rPr>
        <w:t>,</w:t>
      </w:r>
    </w:p>
    <w:p w14:paraId="7249988E" w14:textId="041CF3C0" w:rsidR="00422456" w:rsidRDefault="00422456" w:rsidP="00422456">
      <w:pPr>
        <w:pStyle w:val="Odstavecseseznamem"/>
        <w:numPr>
          <w:ilvl w:val="0"/>
          <w:numId w:val="27"/>
        </w:numPr>
        <w:spacing w:after="0" w:line="259" w:lineRule="auto"/>
        <w:jc w:val="both"/>
        <w:rPr>
          <w:bCs/>
        </w:rPr>
      </w:pPr>
      <w:r>
        <w:rPr>
          <w:bCs/>
        </w:rPr>
        <w:t>úhrada za fakultativní služby</w:t>
      </w:r>
      <w:r w:rsidR="00853448">
        <w:rPr>
          <w:bCs/>
        </w:rPr>
        <w:t>,</w:t>
      </w:r>
    </w:p>
    <w:p w14:paraId="7DFBF88B" w14:textId="0AB87930" w:rsidR="00E0474D" w:rsidRDefault="00E0474D" w:rsidP="00422456">
      <w:pPr>
        <w:spacing w:after="0" w:line="259" w:lineRule="auto"/>
        <w:jc w:val="both"/>
        <w:rPr>
          <w:bCs/>
        </w:rPr>
      </w:pPr>
    </w:p>
    <w:p w14:paraId="620DE9DF" w14:textId="3EE7854D" w:rsidR="00E0474D" w:rsidRDefault="00422456" w:rsidP="00422456">
      <w:pPr>
        <w:spacing w:after="0" w:line="259" w:lineRule="auto"/>
        <w:jc w:val="both"/>
        <w:rPr>
          <w:bCs/>
        </w:rPr>
      </w:pPr>
      <w:r>
        <w:rPr>
          <w:bCs/>
        </w:rPr>
        <w:t xml:space="preserve">Ad 1) </w:t>
      </w:r>
      <w:r w:rsidR="00E0474D">
        <w:rPr>
          <w:bCs/>
        </w:rPr>
        <w:t>Příspěvek na péči je dávkou k zajištění pomoci a jeho přiznaná výše je částkou za kalendářní měsíc. Pokud je osobě přiznán příspěvek na péči, pak musí být ve smlouvě</w:t>
      </w:r>
      <w:r w:rsidR="00E63E64">
        <w:rPr>
          <w:bCs/>
        </w:rPr>
        <w:t xml:space="preserve"> </w:t>
      </w:r>
      <w:r w:rsidR="00E0474D">
        <w:rPr>
          <w:bCs/>
        </w:rPr>
        <w:t>uveden rozsah poskytované péče a stanovena úhrada</w:t>
      </w:r>
      <w:r>
        <w:rPr>
          <w:bCs/>
        </w:rPr>
        <w:t xml:space="preserve"> za tyto služby, a to ve výši přiznaného příspěvku na péči.  Úhrada za péči ve výši přiznaného příspěvku na péči je příjmem zařízení sociálních služeb.</w:t>
      </w:r>
    </w:p>
    <w:p w14:paraId="19908AF0" w14:textId="024940CF" w:rsidR="00422456" w:rsidRDefault="00E63E64" w:rsidP="00422456">
      <w:pPr>
        <w:spacing w:after="0" w:line="259" w:lineRule="auto"/>
        <w:jc w:val="both"/>
        <w:rPr>
          <w:bCs/>
        </w:rPr>
      </w:pPr>
      <w:r>
        <w:rPr>
          <w:bCs/>
        </w:rPr>
        <w:t>Klient</w:t>
      </w:r>
      <w:r w:rsidR="00422456">
        <w:rPr>
          <w:bCs/>
        </w:rPr>
        <w:t>, kter</w:t>
      </w:r>
      <w:r>
        <w:rPr>
          <w:bCs/>
        </w:rPr>
        <w:t>ý</w:t>
      </w:r>
      <w:r w:rsidR="00422456">
        <w:rPr>
          <w:bCs/>
        </w:rPr>
        <w:t xml:space="preserve"> nepobírá příspěvek na péči, neboť </w:t>
      </w:r>
      <w:r>
        <w:rPr>
          <w:bCs/>
        </w:rPr>
        <w:t>mu</w:t>
      </w:r>
      <w:r w:rsidR="00422456">
        <w:rPr>
          <w:bCs/>
        </w:rPr>
        <w:t xml:space="preserve"> zatím nebyl přiznán, ale na základě sociálního šetření sociálního pracovníka Domova bylo zjištěno, že je</w:t>
      </w:r>
      <w:r>
        <w:rPr>
          <w:bCs/>
        </w:rPr>
        <w:t>ho</w:t>
      </w:r>
      <w:r w:rsidR="00422456">
        <w:rPr>
          <w:bCs/>
        </w:rPr>
        <w:t xml:space="preserve"> zdravotní stav odpovídá přiznání příspěvku na péči, jsou úkony péče zajištěny v rozsahu základních činností při poskytování sociálních služeb, avšak nemůže b</w:t>
      </w:r>
      <w:r>
        <w:rPr>
          <w:bCs/>
        </w:rPr>
        <w:t>ý</w:t>
      </w:r>
      <w:r w:rsidR="00422456">
        <w:rPr>
          <w:bCs/>
        </w:rPr>
        <w:t>t poskytovatelem stanovena úhrada za péči. Tato skutečnost je uvedena ve smlouvě.</w:t>
      </w:r>
    </w:p>
    <w:p w14:paraId="50BE7284" w14:textId="353C0A12" w:rsidR="00422456" w:rsidRDefault="00422456" w:rsidP="00422456">
      <w:pPr>
        <w:spacing w:after="0" w:line="259" w:lineRule="auto"/>
        <w:jc w:val="both"/>
        <w:rPr>
          <w:bCs/>
        </w:rPr>
      </w:pPr>
    </w:p>
    <w:p w14:paraId="5B5B1F64" w14:textId="3CE043A2" w:rsidR="00422456" w:rsidRDefault="00422456" w:rsidP="00422456">
      <w:pPr>
        <w:spacing w:after="0" w:line="259" w:lineRule="auto"/>
        <w:jc w:val="both"/>
        <w:rPr>
          <w:bCs/>
        </w:rPr>
      </w:pPr>
      <w:r>
        <w:rPr>
          <w:bCs/>
        </w:rPr>
        <w:t xml:space="preserve">Ad </w:t>
      </w:r>
      <w:r w:rsidR="00853448">
        <w:rPr>
          <w:bCs/>
        </w:rPr>
        <w:t>4</w:t>
      </w:r>
      <w:r>
        <w:rPr>
          <w:bCs/>
        </w:rPr>
        <w:t xml:space="preserve">) Vedle základních činností jsou </w:t>
      </w:r>
      <w:r w:rsidR="00B54B80">
        <w:rPr>
          <w:bCs/>
        </w:rPr>
        <w:t>v Domově zajišťovány také další fakultativní činnosti, přičemž úhrada je stanovena v plné výši nákladů za tyto služby (viz. § 77 zákona).</w:t>
      </w:r>
      <w:r w:rsidR="00496721">
        <w:rPr>
          <w:bCs/>
        </w:rPr>
        <w:t xml:space="preserve"> Sazby a možnosti fakultativních činností jsou součástí přílohy č. 1 této směrnice.</w:t>
      </w:r>
    </w:p>
    <w:p w14:paraId="69146D39" w14:textId="31DCA2E5" w:rsidR="00422456" w:rsidRDefault="00422456" w:rsidP="00422456">
      <w:pPr>
        <w:spacing w:after="0" w:line="259" w:lineRule="auto"/>
        <w:jc w:val="both"/>
        <w:rPr>
          <w:bCs/>
        </w:rPr>
      </w:pPr>
    </w:p>
    <w:p w14:paraId="7861E6C2" w14:textId="34A3EF1D" w:rsidR="00496721" w:rsidRDefault="00E63E64" w:rsidP="00422456">
      <w:pPr>
        <w:spacing w:after="0" w:line="259" w:lineRule="auto"/>
        <w:jc w:val="both"/>
        <w:rPr>
          <w:b/>
        </w:rPr>
      </w:pPr>
      <w:r>
        <w:rPr>
          <w:b/>
        </w:rPr>
        <w:t>3</w:t>
      </w:r>
      <w:r w:rsidR="00496721">
        <w:rPr>
          <w:b/>
        </w:rPr>
        <w:t>. Způsob účtování úhrad</w:t>
      </w:r>
    </w:p>
    <w:p w14:paraId="3A77E8CC" w14:textId="252AB9DF" w:rsidR="00496721" w:rsidRDefault="00496721" w:rsidP="00422456">
      <w:pPr>
        <w:spacing w:after="0" w:line="259" w:lineRule="auto"/>
        <w:jc w:val="both"/>
        <w:rPr>
          <w:bCs/>
        </w:rPr>
      </w:pPr>
    </w:p>
    <w:p w14:paraId="6F3B5D5B" w14:textId="56E0E79B" w:rsidR="007F11D8" w:rsidRDefault="004368EC" w:rsidP="00422456">
      <w:pPr>
        <w:spacing w:after="0" w:line="259" w:lineRule="auto"/>
        <w:jc w:val="both"/>
        <w:rPr>
          <w:bCs/>
        </w:rPr>
      </w:pPr>
      <w:r>
        <w:rPr>
          <w:bCs/>
        </w:rPr>
        <w:t xml:space="preserve">V Domově </w:t>
      </w:r>
      <w:r w:rsidR="007F11D8">
        <w:rPr>
          <w:bCs/>
        </w:rPr>
        <w:t>je účtováno tzv. zálohovými platbami za poskytnutí služby. Úhrady se účtují na skutečný počet dní v kalendáři (tj. vratky za skutečný počet dní v kalendáři).</w:t>
      </w:r>
      <w:r w:rsidR="007C3F9B">
        <w:rPr>
          <w:bCs/>
        </w:rPr>
        <w:t xml:space="preserve"> </w:t>
      </w:r>
    </w:p>
    <w:p w14:paraId="494FF633" w14:textId="1018EBC1" w:rsidR="009306A6" w:rsidRDefault="009306A6" w:rsidP="00422456">
      <w:pPr>
        <w:spacing w:after="0" w:line="259" w:lineRule="auto"/>
        <w:jc w:val="both"/>
        <w:rPr>
          <w:bCs/>
        </w:rPr>
      </w:pPr>
    </w:p>
    <w:p w14:paraId="03002EA5" w14:textId="4D190304" w:rsidR="00E63E64" w:rsidRDefault="00E63E64" w:rsidP="00E63E64">
      <w:pPr>
        <w:spacing w:after="0" w:line="259" w:lineRule="auto"/>
        <w:jc w:val="both"/>
      </w:pPr>
      <w:r>
        <w:t>Úhrada za poskytované sociální služby se platí do 20. dne kalendářního měsíce, za který náleží. Při přijetí klienta do Domova v průběhu kalendářního měsíce, nebo při ukončení pobytu klienta v Domově (včetně úmrtí) v kalendářní</w:t>
      </w:r>
      <w:r w:rsidR="008F2543">
        <w:t>m</w:t>
      </w:r>
      <w:r>
        <w:t xml:space="preserve"> měsíc</w:t>
      </w:r>
      <w:r w:rsidR="008F2543">
        <w:t>i</w:t>
      </w:r>
      <w:r>
        <w:t>, platí klient úhradu v daném měsíci jen podle skutečného počtu dnů pobytu, tedy za dny, kdy ještě do Domova nenastoupil nebo již v Domově nebyl, tak za takové dny neplatí úhradu za ubytování a provozní náklady za stravu.</w:t>
      </w:r>
    </w:p>
    <w:p w14:paraId="390A3121" w14:textId="77777777" w:rsidR="00E63E64" w:rsidRDefault="00E63E64" w:rsidP="00E63E64">
      <w:pPr>
        <w:spacing w:after="0" w:line="259" w:lineRule="auto"/>
        <w:jc w:val="both"/>
      </w:pPr>
    </w:p>
    <w:p w14:paraId="570B99E1" w14:textId="77777777" w:rsidR="00E63E64" w:rsidRDefault="00E63E64" w:rsidP="00E63E64">
      <w:pPr>
        <w:spacing w:after="0" w:line="259" w:lineRule="auto"/>
        <w:jc w:val="both"/>
      </w:pPr>
      <w:r>
        <w:t>Výše úhrady se zaokrouhluje na celé koruny.</w:t>
      </w:r>
    </w:p>
    <w:p w14:paraId="731B23E1" w14:textId="77777777" w:rsidR="00E63E64" w:rsidRDefault="00E63E64" w:rsidP="00E63E64">
      <w:pPr>
        <w:spacing w:after="0" w:line="259" w:lineRule="auto"/>
        <w:jc w:val="both"/>
      </w:pPr>
    </w:p>
    <w:p w14:paraId="733C5217" w14:textId="77777777" w:rsidR="00E63E64" w:rsidRDefault="00E63E64" w:rsidP="00E63E64">
      <w:pPr>
        <w:spacing w:after="0" w:line="259" w:lineRule="auto"/>
        <w:jc w:val="both"/>
      </w:pPr>
      <w:r>
        <w:t>Předem zaplacená úhrada se nevrací za předem neoznámenou dobu pobytu mimo Domov.</w:t>
      </w:r>
    </w:p>
    <w:p w14:paraId="6C263729" w14:textId="6F9BC163" w:rsidR="00E63E64" w:rsidRDefault="00E63E64" w:rsidP="00E63E64">
      <w:pPr>
        <w:spacing w:after="0" w:line="259" w:lineRule="auto"/>
        <w:jc w:val="both"/>
      </w:pPr>
      <w:r>
        <w:t xml:space="preserve">Změní-li se během kalendářního měsíce skutečnosti rozhodné pro stanovení výše úhrady, s přihlédnutím na ustanovení § 73 odst. 3) zákona (minimální zůstatek </w:t>
      </w:r>
      <w:r w:rsidR="008F2543">
        <w:t>15 %</w:t>
      </w:r>
      <w:r>
        <w:t>), úhrada se nově stanoví od následujícího kalendářního měsíce.</w:t>
      </w:r>
    </w:p>
    <w:p w14:paraId="111F1503" w14:textId="77777777" w:rsidR="00E63E64" w:rsidRDefault="00E63E64" w:rsidP="00E63E64">
      <w:pPr>
        <w:spacing w:after="0" w:line="259" w:lineRule="auto"/>
        <w:jc w:val="both"/>
      </w:pPr>
    </w:p>
    <w:p w14:paraId="2A63C563" w14:textId="2D851D58" w:rsidR="00E63E64" w:rsidRDefault="00E63E64" w:rsidP="00422456">
      <w:pPr>
        <w:spacing w:after="0" w:line="259" w:lineRule="auto"/>
        <w:jc w:val="both"/>
      </w:pPr>
      <w:r>
        <w:t>V Domově se poskytuje celoroční pobytová služba. Tato směrnice organizace je proto koncipována na tuto formu poskytované služby.</w:t>
      </w:r>
    </w:p>
    <w:p w14:paraId="66C37489" w14:textId="735A951E" w:rsidR="00904A21" w:rsidRDefault="00904A21" w:rsidP="00422456">
      <w:pPr>
        <w:spacing w:after="0" w:line="259" w:lineRule="auto"/>
        <w:jc w:val="both"/>
      </w:pPr>
    </w:p>
    <w:p w14:paraId="75178892" w14:textId="77777777" w:rsidR="00904A21" w:rsidRPr="008F2543" w:rsidRDefault="00904A21" w:rsidP="00422456">
      <w:pPr>
        <w:spacing w:after="0" w:line="259" w:lineRule="auto"/>
        <w:jc w:val="both"/>
      </w:pPr>
    </w:p>
    <w:p w14:paraId="1D92E03D" w14:textId="41BB1791" w:rsidR="009306A6" w:rsidRDefault="009306A6" w:rsidP="00422456">
      <w:pPr>
        <w:spacing w:after="0" w:line="259" w:lineRule="auto"/>
        <w:jc w:val="both"/>
        <w:rPr>
          <w:b/>
        </w:rPr>
      </w:pPr>
      <w:r>
        <w:rPr>
          <w:b/>
        </w:rPr>
        <w:lastRenderedPageBreak/>
        <w:t>4. Vratky</w:t>
      </w:r>
    </w:p>
    <w:p w14:paraId="4183EFBD" w14:textId="7D910C3C" w:rsidR="009306A6" w:rsidRDefault="009306A6" w:rsidP="00422456">
      <w:pPr>
        <w:spacing w:after="0" w:line="259" w:lineRule="auto"/>
        <w:jc w:val="both"/>
        <w:rPr>
          <w:bCs/>
        </w:rPr>
      </w:pPr>
    </w:p>
    <w:p w14:paraId="408F4D30" w14:textId="2EE85497" w:rsidR="009306A6" w:rsidRDefault="009306A6" w:rsidP="00422456">
      <w:pPr>
        <w:spacing w:after="0" w:line="259" w:lineRule="auto"/>
        <w:jc w:val="both"/>
        <w:rPr>
          <w:bCs/>
        </w:rPr>
      </w:pPr>
      <w:r>
        <w:rPr>
          <w:bCs/>
        </w:rPr>
        <w:t>Vratky úhrady za poskytované služby se uplatňují při předem oznámeném pobytu klienta mimo Domov. Pobyt mimo Domov z důvodu ošetření nebo umístění ve zdravotnickém zařízení se vždy považuje za předem oznámený.</w:t>
      </w:r>
    </w:p>
    <w:p w14:paraId="2201E153" w14:textId="3D2DF708" w:rsidR="009306A6" w:rsidRDefault="009306A6" w:rsidP="00422456">
      <w:pPr>
        <w:spacing w:after="0" w:line="259" w:lineRule="auto"/>
        <w:jc w:val="both"/>
        <w:rPr>
          <w:bCs/>
        </w:rPr>
      </w:pPr>
    </w:p>
    <w:p w14:paraId="444BF383" w14:textId="3F4C1CF9" w:rsidR="009306A6" w:rsidRDefault="009306A6" w:rsidP="00422456">
      <w:pPr>
        <w:spacing w:after="0" w:line="259" w:lineRule="auto"/>
        <w:jc w:val="both"/>
        <w:rPr>
          <w:bCs/>
        </w:rPr>
      </w:pPr>
      <w:r>
        <w:rPr>
          <w:bCs/>
        </w:rPr>
        <w:t xml:space="preserve">Pravidla pro oznamování pobytu klienta mimo Domov je </w:t>
      </w:r>
      <w:r w:rsidR="00E63E64">
        <w:rPr>
          <w:bCs/>
        </w:rPr>
        <w:t xml:space="preserve">podrobně </w:t>
      </w:r>
      <w:r>
        <w:rPr>
          <w:bCs/>
        </w:rPr>
        <w:t>řešeno Směrnicí organizace č. 3 Pravidla pro oznamování pobytu mimo Domov a pro odhlašování stravy.</w:t>
      </w:r>
    </w:p>
    <w:p w14:paraId="732958BB" w14:textId="66005E16" w:rsidR="00496721" w:rsidRDefault="00DA1AAC" w:rsidP="00422456">
      <w:pPr>
        <w:spacing w:after="0" w:line="259" w:lineRule="auto"/>
        <w:jc w:val="both"/>
        <w:rPr>
          <w:bCs/>
        </w:rPr>
      </w:pPr>
      <w:r>
        <w:rPr>
          <w:bCs/>
        </w:rPr>
        <w:t>Podrobná p</w:t>
      </w:r>
      <w:r w:rsidR="009306A6">
        <w:rPr>
          <w:bCs/>
        </w:rPr>
        <w:t xml:space="preserve">ravidla pro výpočet vratky jsou řešena Směrnicí organizace č. 4 Pravidla pro výpočet výše vratky pobytu klienta mimo Domov.   </w:t>
      </w:r>
    </w:p>
    <w:p w14:paraId="372665D5" w14:textId="395C980D" w:rsidR="00E63E64" w:rsidRDefault="00E63E64" w:rsidP="00422456">
      <w:pPr>
        <w:spacing w:after="0" w:line="259" w:lineRule="auto"/>
        <w:jc w:val="both"/>
        <w:rPr>
          <w:bCs/>
        </w:rPr>
      </w:pPr>
      <w:r>
        <w:rPr>
          <w:bCs/>
        </w:rPr>
        <w:t>Oba dokumenty jsou k dispozici v kanceláři ředitelky Domova.</w:t>
      </w:r>
    </w:p>
    <w:p w14:paraId="523E743F" w14:textId="40FE84E8" w:rsidR="00120001" w:rsidRDefault="00120001" w:rsidP="00422456">
      <w:pPr>
        <w:spacing w:after="0" w:line="259" w:lineRule="auto"/>
        <w:jc w:val="both"/>
        <w:rPr>
          <w:bCs/>
        </w:rPr>
      </w:pPr>
    </w:p>
    <w:p w14:paraId="7F3D80F5" w14:textId="4007C02F" w:rsidR="00120001" w:rsidRPr="002252CD" w:rsidRDefault="00DA1AAC" w:rsidP="00422456">
      <w:pPr>
        <w:spacing w:after="0" w:line="259" w:lineRule="auto"/>
        <w:jc w:val="both"/>
        <w:rPr>
          <w:bCs/>
          <w:u w:val="single"/>
        </w:rPr>
      </w:pPr>
      <w:r w:rsidRPr="002252CD">
        <w:rPr>
          <w:bCs/>
          <w:u w:val="single"/>
        </w:rPr>
        <w:t>Zásady pro výpočet vratek:</w:t>
      </w:r>
    </w:p>
    <w:p w14:paraId="4488BF17" w14:textId="71C6467D" w:rsidR="00DA1AAC" w:rsidRDefault="00DA1AAC" w:rsidP="00DA1AAC">
      <w:pPr>
        <w:pStyle w:val="Odstavecseseznamem"/>
        <w:numPr>
          <w:ilvl w:val="0"/>
          <w:numId w:val="30"/>
        </w:numPr>
        <w:spacing w:after="0" w:line="259" w:lineRule="auto"/>
        <w:jc w:val="both"/>
        <w:rPr>
          <w:bCs/>
        </w:rPr>
      </w:pPr>
      <w:r>
        <w:rPr>
          <w:bCs/>
        </w:rPr>
        <w:t>úhrada za ubytování se nevrací,</w:t>
      </w:r>
    </w:p>
    <w:p w14:paraId="3F48B07B" w14:textId="5E8B1A07" w:rsidR="00DA1AAC" w:rsidRDefault="00DA1AAC" w:rsidP="00DA1AAC">
      <w:pPr>
        <w:pStyle w:val="Odstavecseseznamem"/>
        <w:numPr>
          <w:ilvl w:val="0"/>
          <w:numId w:val="30"/>
        </w:numPr>
        <w:spacing w:after="0" w:line="259" w:lineRule="auto"/>
        <w:jc w:val="both"/>
        <w:rPr>
          <w:bCs/>
        </w:rPr>
      </w:pPr>
      <w:r>
        <w:rPr>
          <w:bCs/>
        </w:rPr>
        <w:t>úhrada za stravu se vrací ve výši „nákladů na potraviny“, režijní náklady se nevrací,</w:t>
      </w:r>
    </w:p>
    <w:p w14:paraId="3104A910" w14:textId="369D1F84" w:rsidR="00120001" w:rsidRDefault="00DA1AAC" w:rsidP="00422456">
      <w:pPr>
        <w:pStyle w:val="Odstavecseseznamem"/>
        <w:numPr>
          <w:ilvl w:val="0"/>
          <w:numId w:val="30"/>
        </w:numPr>
        <w:spacing w:after="0" w:line="259" w:lineRule="auto"/>
        <w:jc w:val="both"/>
        <w:rPr>
          <w:bCs/>
        </w:rPr>
      </w:pPr>
      <w:r>
        <w:rPr>
          <w:bCs/>
        </w:rPr>
        <w:t>úhrada za péči se nevrací v případě krátkodobého pobytu (např. víkendové pobyty) klienta mimo Domov, tj. pokud klient v domácí péči po dobu</w:t>
      </w:r>
      <w:r w:rsidR="002252CD">
        <w:rPr>
          <w:bCs/>
        </w:rPr>
        <w:t xml:space="preserve"> max. 3 dnů po sobě jdoucích; den odjezdu a příjezdu se nezapočítává do doby nepřítomnosti klienta, nezapočítává se do vratky.</w:t>
      </w:r>
    </w:p>
    <w:p w14:paraId="44CEE504" w14:textId="77777777" w:rsidR="00E63E64" w:rsidRPr="002252CD" w:rsidRDefault="00E63E64" w:rsidP="00E63E64">
      <w:pPr>
        <w:pStyle w:val="Odstavecseseznamem"/>
        <w:spacing w:after="0" w:line="259" w:lineRule="auto"/>
        <w:jc w:val="both"/>
        <w:rPr>
          <w:bCs/>
        </w:rPr>
      </w:pPr>
    </w:p>
    <w:p w14:paraId="2660D37E" w14:textId="7E6BF16A" w:rsidR="003400E1" w:rsidRDefault="003400E1" w:rsidP="003400E1">
      <w:pPr>
        <w:spacing w:after="0" w:line="259" w:lineRule="auto"/>
        <w:jc w:val="both"/>
        <w:rPr>
          <w:b/>
        </w:rPr>
      </w:pPr>
      <w:r>
        <w:rPr>
          <w:b/>
        </w:rPr>
        <w:t xml:space="preserve">5. </w:t>
      </w:r>
      <w:r w:rsidR="00E63E64">
        <w:rPr>
          <w:b/>
        </w:rPr>
        <w:t>Z</w:t>
      </w:r>
      <w:r>
        <w:rPr>
          <w:b/>
        </w:rPr>
        <w:t>ávěrečné ustanovení</w:t>
      </w:r>
    </w:p>
    <w:p w14:paraId="6B9E50B4" w14:textId="77777777" w:rsidR="003400E1" w:rsidRDefault="003400E1" w:rsidP="003400E1">
      <w:pPr>
        <w:spacing w:after="0" w:line="259" w:lineRule="auto"/>
        <w:jc w:val="both"/>
        <w:rPr>
          <w:b/>
        </w:rPr>
      </w:pPr>
    </w:p>
    <w:p w14:paraId="298B0CD6" w14:textId="77777777" w:rsidR="00C24994" w:rsidRDefault="00C24994" w:rsidP="003400E1">
      <w:pPr>
        <w:spacing w:after="0" w:line="259" w:lineRule="auto"/>
        <w:jc w:val="both"/>
      </w:pPr>
    </w:p>
    <w:p w14:paraId="338AF19E" w14:textId="37EC406B" w:rsidR="003400E1" w:rsidRDefault="003400E1" w:rsidP="003400E1">
      <w:pPr>
        <w:spacing w:after="0" w:line="259" w:lineRule="auto"/>
        <w:jc w:val="both"/>
      </w:pPr>
      <w:r w:rsidRPr="00662265">
        <w:t xml:space="preserve">Tato </w:t>
      </w:r>
      <w:r>
        <w:t>směrnice organizace je platná</w:t>
      </w:r>
      <w:r w:rsidR="00333C97">
        <w:t xml:space="preserve"> a účinná</w:t>
      </w:r>
      <w:r>
        <w:t xml:space="preserve"> od 1. </w:t>
      </w:r>
      <w:r w:rsidR="00C24994">
        <w:t>1</w:t>
      </w:r>
      <w:r>
        <w:t>. 202</w:t>
      </w:r>
      <w:r w:rsidR="00333C97">
        <w:t>4</w:t>
      </w:r>
      <w:r w:rsidRPr="00662265">
        <w:t xml:space="preserve"> a </w:t>
      </w:r>
      <w:r>
        <w:t xml:space="preserve">zcela </w:t>
      </w:r>
      <w:r w:rsidRPr="00662265">
        <w:t>nahrazuje směrnici</w:t>
      </w:r>
      <w:r>
        <w:t xml:space="preserve"> organizace</w:t>
      </w:r>
      <w:r w:rsidRPr="00662265">
        <w:t xml:space="preserve"> </w:t>
      </w:r>
      <w:r>
        <w:t xml:space="preserve">č. </w:t>
      </w:r>
      <w:r w:rsidRPr="00662265">
        <w:t>2</w:t>
      </w:r>
      <w:r>
        <w:t xml:space="preserve">. Stanovení úhrady za ubytování v Domově vydanou 1. </w:t>
      </w:r>
      <w:r w:rsidR="00333C97">
        <w:t>1</w:t>
      </w:r>
      <w:r>
        <w:t>. 202</w:t>
      </w:r>
      <w:r w:rsidR="00333C97">
        <w:t>3</w:t>
      </w:r>
      <w:r w:rsidRPr="00662265">
        <w:t>.</w:t>
      </w:r>
    </w:p>
    <w:p w14:paraId="6C43DAF2" w14:textId="77777777" w:rsidR="00F20CAF" w:rsidRPr="00662265" w:rsidRDefault="00F20CAF" w:rsidP="00662265">
      <w:pPr>
        <w:spacing w:after="23" w:line="259" w:lineRule="auto"/>
        <w:jc w:val="both"/>
      </w:pPr>
    </w:p>
    <w:p w14:paraId="02336F14" w14:textId="77777777" w:rsidR="00662265" w:rsidRPr="00662265" w:rsidRDefault="00F20CAF" w:rsidP="00F20CAF">
      <w:pPr>
        <w:spacing w:after="23" w:line="259" w:lineRule="auto"/>
        <w:jc w:val="right"/>
      </w:pPr>
      <w:r>
        <w:tab/>
        <w:t>Mgr. Petra Sekáčová</w:t>
      </w:r>
    </w:p>
    <w:p w14:paraId="0A38FACE" w14:textId="77777777" w:rsidR="00662265" w:rsidRPr="00662265" w:rsidRDefault="00662265" w:rsidP="00F20CAF">
      <w:pPr>
        <w:spacing w:after="23" w:line="259" w:lineRule="auto"/>
        <w:jc w:val="right"/>
      </w:pPr>
      <w:r w:rsidRPr="00662265">
        <w:tab/>
        <w:t xml:space="preserve">ředitelka </w:t>
      </w:r>
    </w:p>
    <w:p w14:paraId="47FE53A7" w14:textId="7D7015BE" w:rsidR="004F5634" w:rsidRDefault="00662265" w:rsidP="0094662B">
      <w:pPr>
        <w:spacing w:after="23" w:line="259" w:lineRule="auto"/>
        <w:jc w:val="right"/>
      </w:pPr>
      <w:r w:rsidRPr="00662265">
        <w:t xml:space="preserve">                                                                     DOZP „SOKOLÍK“ v Sokolově, p.</w:t>
      </w:r>
      <w:r w:rsidR="00333C97">
        <w:t xml:space="preserve"> </w:t>
      </w:r>
      <w:r w:rsidRPr="00662265">
        <w:t>o.</w:t>
      </w:r>
    </w:p>
    <w:p w14:paraId="039005A9" w14:textId="4735C776" w:rsidR="003400E1" w:rsidRDefault="003400E1" w:rsidP="0094662B">
      <w:pPr>
        <w:spacing w:after="23" w:line="259" w:lineRule="auto"/>
        <w:jc w:val="right"/>
      </w:pPr>
    </w:p>
    <w:p w14:paraId="7531D401" w14:textId="139F17E9" w:rsidR="003400E1" w:rsidRDefault="003400E1" w:rsidP="003400E1">
      <w:pPr>
        <w:spacing w:after="23" w:line="259" w:lineRule="auto"/>
        <w:jc w:val="both"/>
      </w:pPr>
    </w:p>
    <w:p w14:paraId="59650EB3" w14:textId="14F1C6B1" w:rsidR="003400E1" w:rsidRDefault="003400E1" w:rsidP="003400E1">
      <w:pPr>
        <w:spacing w:after="23" w:line="259" w:lineRule="auto"/>
        <w:jc w:val="both"/>
      </w:pPr>
    </w:p>
    <w:p w14:paraId="1A6029BA" w14:textId="762D8B99" w:rsidR="003400E1" w:rsidRDefault="003400E1" w:rsidP="003400E1">
      <w:pPr>
        <w:spacing w:after="23" w:line="259" w:lineRule="auto"/>
        <w:jc w:val="both"/>
      </w:pPr>
    </w:p>
    <w:p w14:paraId="4C517447" w14:textId="6BE69FD5" w:rsidR="003400E1" w:rsidRDefault="003400E1" w:rsidP="003400E1">
      <w:pPr>
        <w:spacing w:after="23" w:line="259" w:lineRule="auto"/>
        <w:jc w:val="both"/>
      </w:pPr>
    </w:p>
    <w:p w14:paraId="098E98A2" w14:textId="3E8221D8" w:rsidR="003400E1" w:rsidRDefault="003400E1" w:rsidP="003400E1">
      <w:pPr>
        <w:spacing w:after="23" w:line="259" w:lineRule="auto"/>
        <w:jc w:val="both"/>
      </w:pPr>
    </w:p>
    <w:p w14:paraId="21592EA4" w14:textId="755F14E1" w:rsidR="003400E1" w:rsidRDefault="003400E1" w:rsidP="003400E1">
      <w:pPr>
        <w:spacing w:after="23" w:line="259" w:lineRule="auto"/>
        <w:jc w:val="both"/>
      </w:pPr>
    </w:p>
    <w:p w14:paraId="5BB0EAA1" w14:textId="2D261C19" w:rsidR="003400E1" w:rsidRDefault="003400E1" w:rsidP="003400E1">
      <w:pPr>
        <w:spacing w:after="23" w:line="259" w:lineRule="auto"/>
        <w:jc w:val="both"/>
      </w:pPr>
    </w:p>
    <w:p w14:paraId="2A10BD5B" w14:textId="5F3D1077" w:rsidR="003400E1" w:rsidRDefault="003400E1" w:rsidP="003400E1">
      <w:pPr>
        <w:spacing w:after="23" w:line="259" w:lineRule="auto"/>
        <w:jc w:val="both"/>
      </w:pPr>
    </w:p>
    <w:p w14:paraId="44AD9F37" w14:textId="53C1CFBB" w:rsidR="003400E1" w:rsidRDefault="003400E1" w:rsidP="003400E1">
      <w:pPr>
        <w:spacing w:after="23" w:line="259" w:lineRule="auto"/>
        <w:jc w:val="both"/>
      </w:pPr>
    </w:p>
    <w:p w14:paraId="4D4B0F1A" w14:textId="538F2DF0" w:rsidR="003400E1" w:rsidRDefault="003400E1" w:rsidP="003400E1">
      <w:pPr>
        <w:spacing w:after="23" w:line="259" w:lineRule="auto"/>
        <w:jc w:val="both"/>
      </w:pPr>
    </w:p>
    <w:p w14:paraId="36E233B1" w14:textId="1EE5EF89" w:rsidR="003400E1" w:rsidRDefault="003400E1" w:rsidP="003400E1">
      <w:pPr>
        <w:spacing w:after="23" w:line="259" w:lineRule="auto"/>
        <w:jc w:val="both"/>
      </w:pPr>
    </w:p>
    <w:p w14:paraId="76231343" w14:textId="3AA6EFE5" w:rsidR="003400E1" w:rsidRDefault="003400E1" w:rsidP="003400E1">
      <w:pPr>
        <w:spacing w:after="23" w:line="259" w:lineRule="auto"/>
        <w:jc w:val="both"/>
      </w:pPr>
    </w:p>
    <w:p w14:paraId="314DF617" w14:textId="16E6984A" w:rsidR="003400E1" w:rsidRDefault="003400E1" w:rsidP="003400E1">
      <w:pPr>
        <w:spacing w:after="23" w:line="259" w:lineRule="auto"/>
        <w:jc w:val="both"/>
      </w:pPr>
    </w:p>
    <w:p w14:paraId="276D10BF" w14:textId="1E283C44" w:rsidR="003400E1" w:rsidRDefault="003400E1" w:rsidP="003400E1">
      <w:pPr>
        <w:spacing w:after="23" w:line="259" w:lineRule="auto"/>
        <w:jc w:val="both"/>
      </w:pPr>
    </w:p>
    <w:p w14:paraId="089CBE1F" w14:textId="56876608" w:rsidR="003400E1" w:rsidRDefault="003400E1" w:rsidP="003400E1">
      <w:pPr>
        <w:spacing w:after="23" w:line="259" w:lineRule="auto"/>
        <w:jc w:val="both"/>
      </w:pPr>
    </w:p>
    <w:p w14:paraId="1A75BB42" w14:textId="319DA2A0" w:rsidR="00120001" w:rsidRDefault="00120001" w:rsidP="003400E1">
      <w:pPr>
        <w:spacing w:after="23" w:line="259" w:lineRule="auto"/>
        <w:jc w:val="both"/>
      </w:pPr>
    </w:p>
    <w:p w14:paraId="0774B131" w14:textId="395922B0" w:rsidR="00120001" w:rsidRDefault="00120001" w:rsidP="003400E1">
      <w:pPr>
        <w:spacing w:after="23" w:line="259" w:lineRule="auto"/>
        <w:jc w:val="both"/>
        <w:rPr>
          <w:b/>
          <w:bCs/>
        </w:rPr>
      </w:pPr>
      <w:r>
        <w:rPr>
          <w:b/>
          <w:bCs/>
        </w:rPr>
        <w:lastRenderedPageBreak/>
        <w:t>Příloha č. 1</w:t>
      </w:r>
    </w:p>
    <w:p w14:paraId="2B9485D7" w14:textId="7BDF6304" w:rsidR="00120001" w:rsidRDefault="00120001" w:rsidP="003400E1">
      <w:pPr>
        <w:spacing w:after="23" w:line="259" w:lineRule="auto"/>
        <w:jc w:val="both"/>
        <w:rPr>
          <w:b/>
          <w:bCs/>
        </w:rPr>
      </w:pPr>
    </w:p>
    <w:p w14:paraId="43E68F75" w14:textId="389213A6" w:rsidR="00120001" w:rsidRDefault="00120001" w:rsidP="00120001">
      <w:pPr>
        <w:spacing w:after="23" w:line="259" w:lineRule="auto"/>
        <w:jc w:val="center"/>
        <w:rPr>
          <w:b/>
          <w:bCs/>
        </w:rPr>
      </w:pPr>
      <w:r>
        <w:rPr>
          <w:b/>
          <w:bCs/>
        </w:rPr>
        <w:t>Sazby úhrad za sjednané služby klientů od 1. 1. 202</w:t>
      </w:r>
      <w:r w:rsidR="001C29B7">
        <w:rPr>
          <w:b/>
          <w:bCs/>
        </w:rPr>
        <w:t>4</w:t>
      </w:r>
    </w:p>
    <w:p w14:paraId="60138EAF" w14:textId="6955A7B0" w:rsidR="00120001" w:rsidRDefault="00120001" w:rsidP="00120001">
      <w:pPr>
        <w:spacing w:after="23" w:line="259" w:lineRule="auto"/>
        <w:jc w:val="both"/>
      </w:pPr>
    </w:p>
    <w:p w14:paraId="160EFC28" w14:textId="1F2879C3" w:rsidR="00120001" w:rsidRPr="00D631E9" w:rsidRDefault="00D631E9" w:rsidP="00D631E9">
      <w:pPr>
        <w:spacing w:after="23" w:line="259" w:lineRule="auto"/>
        <w:jc w:val="both"/>
        <w:rPr>
          <w:b/>
          <w:bCs/>
        </w:rPr>
      </w:pPr>
      <w:r w:rsidRPr="00D631E9">
        <w:rPr>
          <w:b/>
          <w:bCs/>
        </w:rPr>
        <w:t>1.</w:t>
      </w:r>
      <w:r>
        <w:rPr>
          <w:b/>
          <w:bCs/>
        </w:rPr>
        <w:t xml:space="preserve"> </w:t>
      </w:r>
      <w:r w:rsidR="00120001" w:rsidRPr="00D631E9">
        <w:rPr>
          <w:b/>
          <w:bCs/>
        </w:rPr>
        <w:t>Úhrada za ubytování</w:t>
      </w:r>
    </w:p>
    <w:p w14:paraId="6E5C44CB" w14:textId="77777777" w:rsidR="00D631E9" w:rsidRPr="00D631E9" w:rsidRDefault="00D631E9" w:rsidP="008260B8">
      <w:pPr>
        <w:spacing w:after="0"/>
      </w:pPr>
    </w:p>
    <w:p w14:paraId="66E3D089" w14:textId="5C1920B9" w:rsidR="00120001" w:rsidRDefault="00120001" w:rsidP="008260B8">
      <w:pPr>
        <w:spacing w:after="0" w:line="259" w:lineRule="auto"/>
        <w:jc w:val="both"/>
      </w:pPr>
      <w:r>
        <w:t>Úhradu za ubytování nehradí nezaopatřené děti.</w:t>
      </w:r>
    </w:p>
    <w:p w14:paraId="4B0935E5" w14:textId="32ABA79B" w:rsidR="00D631E9" w:rsidRDefault="00D631E9" w:rsidP="008260B8">
      <w:pPr>
        <w:spacing w:after="0" w:line="259" w:lineRule="auto"/>
        <w:jc w:val="both"/>
      </w:pPr>
      <w:r>
        <w:t>Úhrada za ubytování včetně poskytovaných služeb (tj. úklid, praní a drobné opravy ložního a osobního prádla, ošacení a žehlení).</w:t>
      </w:r>
    </w:p>
    <w:p w14:paraId="63D287D0" w14:textId="1EB131F9" w:rsidR="00120001" w:rsidRDefault="00120001" w:rsidP="008260B8">
      <w:pPr>
        <w:spacing w:after="0" w:line="259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631E9" w14:paraId="7B5E96A0" w14:textId="77777777" w:rsidTr="00D631E9">
        <w:tc>
          <w:tcPr>
            <w:tcW w:w="4606" w:type="dxa"/>
          </w:tcPr>
          <w:p w14:paraId="6F9E96DE" w14:textId="4145B809" w:rsidR="00D631E9" w:rsidRPr="002F2080" w:rsidRDefault="00D631E9" w:rsidP="008260B8">
            <w:pPr>
              <w:spacing w:line="259" w:lineRule="auto"/>
              <w:jc w:val="both"/>
              <w:rPr>
                <w:b/>
                <w:bCs/>
              </w:rPr>
            </w:pPr>
            <w:r w:rsidRPr="002F2080">
              <w:rPr>
                <w:b/>
                <w:bCs/>
              </w:rPr>
              <w:t>Druh pokoje</w:t>
            </w:r>
          </w:p>
        </w:tc>
        <w:tc>
          <w:tcPr>
            <w:tcW w:w="4606" w:type="dxa"/>
          </w:tcPr>
          <w:p w14:paraId="320EC314" w14:textId="1E6FE8E9" w:rsidR="00D631E9" w:rsidRPr="002F2080" w:rsidRDefault="00D631E9" w:rsidP="008260B8">
            <w:pPr>
              <w:spacing w:line="259" w:lineRule="auto"/>
              <w:jc w:val="both"/>
              <w:rPr>
                <w:b/>
                <w:bCs/>
              </w:rPr>
            </w:pPr>
            <w:r w:rsidRPr="002F2080">
              <w:rPr>
                <w:b/>
                <w:bCs/>
              </w:rPr>
              <w:t>Denní platba klienta</w:t>
            </w:r>
          </w:p>
        </w:tc>
      </w:tr>
      <w:tr w:rsidR="00D631E9" w14:paraId="4187FF01" w14:textId="77777777" w:rsidTr="00D631E9">
        <w:tc>
          <w:tcPr>
            <w:tcW w:w="4606" w:type="dxa"/>
          </w:tcPr>
          <w:p w14:paraId="76C57973" w14:textId="7A9A1E11" w:rsidR="00D631E9" w:rsidRDefault="00D631E9" w:rsidP="008260B8">
            <w:pPr>
              <w:spacing w:line="259" w:lineRule="auto"/>
              <w:jc w:val="both"/>
            </w:pPr>
            <w:r>
              <w:t>Pokoj se třemi obyvateli</w:t>
            </w:r>
          </w:p>
        </w:tc>
        <w:tc>
          <w:tcPr>
            <w:tcW w:w="4606" w:type="dxa"/>
          </w:tcPr>
          <w:p w14:paraId="10D11E67" w14:textId="46FF93D1" w:rsidR="00D631E9" w:rsidRDefault="00D631E9" w:rsidP="008260B8">
            <w:pPr>
              <w:spacing w:line="259" w:lineRule="auto"/>
              <w:jc w:val="both"/>
            </w:pPr>
            <w:r>
              <w:t>2</w:t>
            </w:r>
            <w:r w:rsidR="001C29B7">
              <w:t>65</w:t>
            </w:r>
            <w:r>
              <w:t xml:space="preserve"> Kč</w:t>
            </w:r>
          </w:p>
        </w:tc>
      </w:tr>
      <w:tr w:rsidR="00D631E9" w14:paraId="422DF54F" w14:textId="77777777" w:rsidTr="00D631E9">
        <w:tc>
          <w:tcPr>
            <w:tcW w:w="4606" w:type="dxa"/>
          </w:tcPr>
          <w:p w14:paraId="194E9BF0" w14:textId="108A6693" w:rsidR="00D631E9" w:rsidRDefault="00D631E9" w:rsidP="008260B8">
            <w:pPr>
              <w:spacing w:line="259" w:lineRule="auto"/>
              <w:jc w:val="both"/>
            </w:pPr>
            <w:r>
              <w:t>Pokoj se dvěma obyvateli II. kategorie</w:t>
            </w:r>
          </w:p>
        </w:tc>
        <w:tc>
          <w:tcPr>
            <w:tcW w:w="4606" w:type="dxa"/>
          </w:tcPr>
          <w:p w14:paraId="77C1001B" w14:textId="0C2D6E52" w:rsidR="00D631E9" w:rsidRDefault="00D631E9" w:rsidP="008260B8">
            <w:pPr>
              <w:spacing w:line="259" w:lineRule="auto"/>
              <w:jc w:val="both"/>
            </w:pPr>
            <w:r>
              <w:t>2</w:t>
            </w:r>
            <w:r w:rsidR="001C29B7">
              <w:t>85</w:t>
            </w:r>
            <w:r>
              <w:t xml:space="preserve"> Kč</w:t>
            </w:r>
          </w:p>
        </w:tc>
      </w:tr>
      <w:tr w:rsidR="00D631E9" w14:paraId="3D9BE25F" w14:textId="77777777" w:rsidTr="00D631E9">
        <w:tc>
          <w:tcPr>
            <w:tcW w:w="4606" w:type="dxa"/>
          </w:tcPr>
          <w:p w14:paraId="7828A7F2" w14:textId="06D3E90A" w:rsidR="00D631E9" w:rsidRDefault="00D631E9" w:rsidP="008260B8">
            <w:pPr>
              <w:spacing w:line="259" w:lineRule="auto"/>
              <w:jc w:val="both"/>
            </w:pPr>
            <w:r>
              <w:t>Pokoj se dvěma obyvateli I. kategorie</w:t>
            </w:r>
          </w:p>
        </w:tc>
        <w:tc>
          <w:tcPr>
            <w:tcW w:w="4606" w:type="dxa"/>
          </w:tcPr>
          <w:p w14:paraId="4ABFDD5C" w14:textId="49337BBC" w:rsidR="00D631E9" w:rsidRDefault="00D631E9" w:rsidP="008260B8">
            <w:pPr>
              <w:spacing w:line="259" w:lineRule="auto"/>
              <w:jc w:val="both"/>
            </w:pPr>
            <w:r>
              <w:t>2</w:t>
            </w:r>
            <w:r w:rsidR="001C29B7">
              <w:t>95</w:t>
            </w:r>
            <w:r>
              <w:t xml:space="preserve"> Kč</w:t>
            </w:r>
          </w:p>
        </w:tc>
      </w:tr>
      <w:tr w:rsidR="00D631E9" w14:paraId="06ACD626" w14:textId="77777777" w:rsidTr="00D631E9">
        <w:tc>
          <w:tcPr>
            <w:tcW w:w="4606" w:type="dxa"/>
          </w:tcPr>
          <w:p w14:paraId="20482916" w14:textId="314325D2" w:rsidR="00D631E9" w:rsidRDefault="00D631E9" w:rsidP="008260B8">
            <w:pPr>
              <w:spacing w:line="259" w:lineRule="auto"/>
              <w:jc w:val="both"/>
            </w:pPr>
            <w:r>
              <w:t>Pokoj s jedním obyvatelem</w:t>
            </w:r>
          </w:p>
        </w:tc>
        <w:tc>
          <w:tcPr>
            <w:tcW w:w="4606" w:type="dxa"/>
          </w:tcPr>
          <w:p w14:paraId="0B5CEAEA" w14:textId="73704349" w:rsidR="00D631E9" w:rsidRDefault="001C29B7" w:rsidP="008260B8">
            <w:pPr>
              <w:spacing w:line="259" w:lineRule="auto"/>
              <w:jc w:val="both"/>
            </w:pPr>
            <w:r>
              <w:t>305</w:t>
            </w:r>
            <w:r w:rsidR="00D631E9">
              <w:t xml:space="preserve"> Kč</w:t>
            </w:r>
          </w:p>
        </w:tc>
      </w:tr>
    </w:tbl>
    <w:p w14:paraId="0ED6D728" w14:textId="77777777" w:rsidR="00120001" w:rsidRPr="00120001" w:rsidRDefault="00120001" w:rsidP="008260B8">
      <w:pPr>
        <w:spacing w:after="0" w:line="259" w:lineRule="auto"/>
        <w:jc w:val="both"/>
      </w:pPr>
    </w:p>
    <w:p w14:paraId="78FD481A" w14:textId="2D14F335" w:rsidR="00120001" w:rsidRDefault="00D631E9" w:rsidP="008260B8">
      <w:pPr>
        <w:spacing w:after="0" w:line="259" w:lineRule="auto"/>
        <w:jc w:val="both"/>
      </w:pPr>
      <w:r>
        <w:t xml:space="preserve">Pokoj I. kategorie je vybaven sociálním příslušenstvím (sprchový kout, umyvadlo, </w:t>
      </w:r>
      <w:r w:rsidR="008260B8">
        <w:t>WC).</w:t>
      </w:r>
    </w:p>
    <w:p w14:paraId="17C30549" w14:textId="7FADFE5C" w:rsidR="008260B8" w:rsidRDefault="008260B8" w:rsidP="008260B8">
      <w:pPr>
        <w:spacing w:after="0" w:line="259" w:lineRule="auto"/>
        <w:jc w:val="both"/>
      </w:pPr>
      <w:r>
        <w:t>Pokoj II. kategorie není samostatně vybaven sociálním příslušenstvím, toto je k dispozici na chodbách Domova.</w:t>
      </w:r>
    </w:p>
    <w:p w14:paraId="1B1B093E" w14:textId="773E5787" w:rsidR="008260B8" w:rsidRDefault="008260B8" w:rsidP="008260B8">
      <w:pPr>
        <w:spacing w:after="0" w:line="259" w:lineRule="auto"/>
        <w:jc w:val="both"/>
      </w:pPr>
    </w:p>
    <w:p w14:paraId="2DB0C53D" w14:textId="6D3C47D4" w:rsidR="008260B8" w:rsidRDefault="008260B8" w:rsidP="008260B8">
      <w:pPr>
        <w:spacing w:after="0" w:line="259" w:lineRule="auto"/>
        <w:jc w:val="both"/>
      </w:pPr>
      <w:r>
        <w:rPr>
          <w:b/>
          <w:bCs/>
        </w:rPr>
        <w:t>2. Úhrada za stravu</w:t>
      </w:r>
    </w:p>
    <w:p w14:paraId="3C9C838B" w14:textId="5B6F48EE" w:rsidR="008260B8" w:rsidRDefault="008260B8" w:rsidP="008260B8">
      <w:pPr>
        <w:spacing w:after="0" w:line="259" w:lineRule="auto"/>
        <w:jc w:val="both"/>
      </w:pPr>
    </w:p>
    <w:p w14:paraId="574DBFB5" w14:textId="48167675" w:rsidR="008260B8" w:rsidRDefault="008260B8" w:rsidP="008260B8">
      <w:pPr>
        <w:spacing w:after="0" w:line="259" w:lineRule="auto"/>
        <w:jc w:val="both"/>
      </w:pPr>
      <w:r>
        <w:t xml:space="preserve">Nezaopatřené děti </w:t>
      </w:r>
      <w:r w:rsidR="00DB07BD">
        <w:t>hradí stravovací jednotku bez režijních nákladů.</w:t>
      </w:r>
    </w:p>
    <w:p w14:paraId="20CB38B4" w14:textId="2A1E86A3" w:rsidR="00DB07BD" w:rsidRDefault="00DB07BD" w:rsidP="008260B8">
      <w:pPr>
        <w:spacing w:after="0" w:line="259" w:lineRule="auto"/>
        <w:jc w:val="both"/>
      </w:pPr>
      <w:r>
        <w:t>Celodenní strav</w:t>
      </w:r>
      <w:r w:rsidR="00E7359E">
        <w:t>a</w:t>
      </w:r>
      <w:r>
        <w:t xml:space="preserve"> je poskytována v počtu 3 hlavních jídel a 1 jídla doplňkového.</w:t>
      </w:r>
    </w:p>
    <w:p w14:paraId="32F53201" w14:textId="1D2302FB" w:rsidR="00DB07BD" w:rsidRDefault="00DB07BD" w:rsidP="008260B8">
      <w:pPr>
        <w:spacing w:after="0" w:line="259" w:lineRule="auto"/>
        <w:jc w:val="both"/>
      </w:pPr>
      <w:r>
        <w:t>Klienti nemají povinnost odeb</w:t>
      </w:r>
      <w:r w:rsidR="002F2080">
        <w:t>í</w:t>
      </w:r>
      <w:r>
        <w:t>rat celode</w:t>
      </w:r>
      <w:r w:rsidR="002F2080">
        <w:t>n</w:t>
      </w:r>
      <w:r>
        <w:t>ní stravu</w:t>
      </w:r>
      <w:r w:rsidR="002F2080">
        <w:t>.</w:t>
      </w:r>
    </w:p>
    <w:p w14:paraId="63361B4B" w14:textId="2DC1EA5C" w:rsidR="002F2080" w:rsidRDefault="002F2080" w:rsidP="008260B8">
      <w:pPr>
        <w:spacing w:after="0" w:line="259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984"/>
        <w:gridCol w:w="2234"/>
      </w:tblGrid>
      <w:tr w:rsidR="002F2080" w14:paraId="475E2F2E" w14:textId="77777777" w:rsidTr="00EA5566">
        <w:tc>
          <w:tcPr>
            <w:tcW w:w="2802" w:type="dxa"/>
          </w:tcPr>
          <w:p w14:paraId="6B98005C" w14:textId="21AC8FC0" w:rsidR="002F2080" w:rsidRPr="000D0B42" w:rsidRDefault="002F2080" w:rsidP="008260B8">
            <w:pPr>
              <w:spacing w:line="259" w:lineRule="auto"/>
              <w:jc w:val="both"/>
              <w:rPr>
                <w:b/>
                <w:bCs/>
              </w:rPr>
            </w:pPr>
            <w:r w:rsidRPr="000D0B42">
              <w:rPr>
                <w:b/>
                <w:bCs/>
              </w:rPr>
              <w:t>Klient</w:t>
            </w:r>
          </w:p>
        </w:tc>
        <w:tc>
          <w:tcPr>
            <w:tcW w:w="2268" w:type="dxa"/>
          </w:tcPr>
          <w:p w14:paraId="4152C188" w14:textId="12F3CC67" w:rsidR="002F2080" w:rsidRPr="000D0B42" w:rsidRDefault="002F2080" w:rsidP="008260B8">
            <w:pPr>
              <w:spacing w:line="259" w:lineRule="auto"/>
              <w:jc w:val="both"/>
              <w:rPr>
                <w:b/>
                <w:bCs/>
              </w:rPr>
            </w:pPr>
            <w:r w:rsidRPr="000D0B42">
              <w:rPr>
                <w:b/>
                <w:bCs/>
              </w:rPr>
              <w:t>Stravovací jednotka</w:t>
            </w:r>
          </w:p>
        </w:tc>
        <w:tc>
          <w:tcPr>
            <w:tcW w:w="1984" w:type="dxa"/>
          </w:tcPr>
          <w:p w14:paraId="0B3B3A86" w14:textId="45975793" w:rsidR="002F2080" w:rsidRPr="000D0B42" w:rsidRDefault="002F2080" w:rsidP="008260B8">
            <w:pPr>
              <w:spacing w:line="259" w:lineRule="auto"/>
              <w:jc w:val="both"/>
              <w:rPr>
                <w:b/>
                <w:bCs/>
              </w:rPr>
            </w:pPr>
            <w:r w:rsidRPr="000D0B42">
              <w:rPr>
                <w:b/>
                <w:bCs/>
              </w:rPr>
              <w:t>Režijní náklady</w:t>
            </w:r>
          </w:p>
        </w:tc>
        <w:tc>
          <w:tcPr>
            <w:tcW w:w="2234" w:type="dxa"/>
          </w:tcPr>
          <w:p w14:paraId="1ED75ED7" w14:textId="50F89D76" w:rsidR="002F2080" w:rsidRPr="000D0B42" w:rsidRDefault="002F2080" w:rsidP="008260B8">
            <w:pPr>
              <w:spacing w:line="259" w:lineRule="auto"/>
              <w:jc w:val="both"/>
              <w:rPr>
                <w:b/>
                <w:bCs/>
              </w:rPr>
            </w:pPr>
            <w:r w:rsidRPr="000D0B42">
              <w:rPr>
                <w:b/>
                <w:bCs/>
              </w:rPr>
              <w:t>Denní úhrada klienta</w:t>
            </w:r>
          </w:p>
        </w:tc>
      </w:tr>
      <w:tr w:rsidR="002F2080" w14:paraId="6C800219" w14:textId="77777777" w:rsidTr="00EA5566">
        <w:tc>
          <w:tcPr>
            <w:tcW w:w="2802" w:type="dxa"/>
          </w:tcPr>
          <w:p w14:paraId="0344BFB9" w14:textId="63C837B4" w:rsidR="002F2080" w:rsidRDefault="002F2080" w:rsidP="008260B8">
            <w:pPr>
              <w:spacing w:line="259" w:lineRule="auto"/>
              <w:jc w:val="both"/>
            </w:pPr>
            <w:r>
              <w:t>Do 12 let</w:t>
            </w:r>
            <w:r w:rsidR="00EA5566">
              <w:t xml:space="preserve"> externí dodavatel</w:t>
            </w:r>
          </w:p>
        </w:tc>
        <w:tc>
          <w:tcPr>
            <w:tcW w:w="2268" w:type="dxa"/>
          </w:tcPr>
          <w:p w14:paraId="7F7BBEAC" w14:textId="527C0DFD" w:rsidR="00806420" w:rsidRDefault="00806420" w:rsidP="008260B8">
            <w:pPr>
              <w:spacing w:line="259" w:lineRule="auto"/>
              <w:jc w:val="both"/>
            </w:pPr>
            <w:r>
              <w:t>1</w:t>
            </w:r>
            <w:r w:rsidR="00142FBC">
              <w:t>20</w:t>
            </w:r>
            <w:r>
              <w:t xml:space="preserve"> Kč</w:t>
            </w:r>
          </w:p>
        </w:tc>
        <w:tc>
          <w:tcPr>
            <w:tcW w:w="1984" w:type="dxa"/>
          </w:tcPr>
          <w:p w14:paraId="273FC836" w14:textId="6A0068CF" w:rsidR="002F2080" w:rsidRDefault="002F2080" w:rsidP="008260B8">
            <w:pPr>
              <w:spacing w:line="259" w:lineRule="auto"/>
              <w:jc w:val="both"/>
            </w:pPr>
          </w:p>
        </w:tc>
        <w:tc>
          <w:tcPr>
            <w:tcW w:w="2234" w:type="dxa"/>
          </w:tcPr>
          <w:p w14:paraId="494EBB9B" w14:textId="1BA5F0F2" w:rsidR="002F2080" w:rsidRDefault="002F2080" w:rsidP="008260B8">
            <w:pPr>
              <w:spacing w:line="259" w:lineRule="auto"/>
              <w:jc w:val="both"/>
            </w:pPr>
          </w:p>
        </w:tc>
      </w:tr>
      <w:tr w:rsidR="002F2080" w14:paraId="610F638E" w14:textId="77777777" w:rsidTr="00EA5566">
        <w:tc>
          <w:tcPr>
            <w:tcW w:w="2802" w:type="dxa"/>
          </w:tcPr>
          <w:p w14:paraId="05DD5C4A" w14:textId="10A626BC" w:rsidR="002F2080" w:rsidRDefault="002F2080" w:rsidP="008260B8">
            <w:pPr>
              <w:spacing w:line="259" w:lineRule="auto"/>
              <w:jc w:val="both"/>
            </w:pPr>
            <w:r>
              <w:t>Nad 12 let</w:t>
            </w:r>
            <w:r w:rsidR="00EA5566">
              <w:t xml:space="preserve"> externí dodavatel</w:t>
            </w:r>
          </w:p>
        </w:tc>
        <w:tc>
          <w:tcPr>
            <w:tcW w:w="2268" w:type="dxa"/>
          </w:tcPr>
          <w:p w14:paraId="182A493E" w14:textId="4A543A87" w:rsidR="002F2080" w:rsidRDefault="00806420" w:rsidP="008260B8">
            <w:pPr>
              <w:spacing w:line="259" w:lineRule="auto"/>
              <w:jc w:val="both"/>
            </w:pPr>
            <w:r>
              <w:t>13</w:t>
            </w:r>
            <w:r w:rsidR="00142FBC">
              <w:t>9</w:t>
            </w:r>
            <w:r>
              <w:t xml:space="preserve"> Kč</w:t>
            </w:r>
          </w:p>
        </w:tc>
        <w:tc>
          <w:tcPr>
            <w:tcW w:w="1984" w:type="dxa"/>
          </w:tcPr>
          <w:p w14:paraId="29C69703" w14:textId="59FA16E1" w:rsidR="002F2080" w:rsidRDefault="00EA5566" w:rsidP="008260B8">
            <w:pPr>
              <w:spacing w:line="259" w:lineRule="auto"/>
              <w:jc w:val="both"/>
            </w:pPr>
            <w:r>
              <w:t>1</w:t>
            </w:r>
            <w:r w:rsidR="00142FBC">
              <w:t>16</w:t>
            </w:r>
            <w:r w:rsidR="00806420">
              <w:t xml:space="preserve"> Kč</w:t>
            </w:r>
          </w:p>
        </w:tc>
        <w:tc>
          <w:tcPr>
            <w:tcW w:w="2234" w:type="dxa"/>
          </w:tcPr>
          <w:p w14:paraId="29489881" w14:textId="122C9C2F" w:rsidR="002F2080" w:rsidRDefault="00806420" w:rsidP="008260B8">
            <w:pPr>
              <w:spacing w:line="259" w:lineRule="auto"/>
              <w:jc w:val="both"/>
            </w:pPr>
            <w:r>
              <w:t>2</w:t>
            </w:r>
            <w:r w:rsidR="00142FBC">
              <w:t>5</w:t>
            </w:r>
            <w:r w:rsidR="00107367">
              <w:t>5</w:t>
            </w:r>
            <w:r>
              <w:t xml:space="preserve"> Kč</w:t>
            </w:r>
          </w:p>
        </w:tc>
      </w:tr>
      <w:tr w:rsidR="00904A21" w14:paraId="0DB16F61" w14:textId="77777777" w:rsidTr="00EA5566">
        <w:tc>
          <w:tcPr>
            <w:tcW w:w="2802" w:type="dxa"/>
          </w:tcPr>
          <w:p w14:paraId="1DC3731A" w14:textId="2E29A417" w:rsidR="00904A21" w:rsidRDefault="00904A21" w:rsidP="008260B8">
            <w:pPr>
              <w:spacing w:line="259" w:lineRule="auto"/>
              <w:jc w:val="both"/>
            </w:pPr>
            <w:r>
              <w:t>Od 18 let</w:t>
            </w:r>
            <w:r w:rsidR="00EA5566">
              <w:t xml:space="preserve"> kuchyň SOKOLÍK</w:t>
            </w:r>
          </w:p>
        </w:tc>
        <w:tc>
          <w:tcPr>
            <w:tcW w:w="2268" w:type="dxa"/>
          </w:tcPr>
          <w:p w14:paraId="6E236D55" w14:textId="2821F1C3" w:rsidR="00904A21" w:rsidRDefault="001C29B7" w:rsidP="008260B8">
            <w:pPr>
              <w:spacing w:line="259" w:lineRule="auto"/>
              <w:jc w:val="both"/>
            </w:pPr>
            <w:r>
              <w:t>110</w:t>
            </w:r>
            <w:r w:rsidR="00904A21">
              <w:t xml:space="preserve"> Kč</w:t>
            </w:r>
          </w:p>
        </w:tc>
        <w:tc>
          <w:tcPr>
            <w:tcW w:w="1984" w:type="dxa"/>
          </w:tcPr>
          <w:p w14:paraId="60263B41" w14:textId="6335FC22" w:rsidR="00904A21" w:rsidRDefault="00EA5566" w:rsidP="008260B8">
            <w:pPr>
              <w:spacing w:line="259" w:lineRule="auto"/>
              <w:jc w:val="both"/>
            </w:pPr>
            <w:r>
              <w:t>1</w:t>
            </w:r>
            <w:r w:rsidR="001C29B7">
              <w:t>45</w:t>
            </w:r>
            <w:r>
              <w:t xml:space="preserve"> Kč</w:t>
            </w:r>
          </w:p>
        </w:tc>
        <w:tc>
          <w:tcPr>
            <w:tcW w:w="2234" w:type="dxa"/>
          </w:tcPr>
          <w:p w14:paraId="35BC23AD" w14:textId="57549635" w:rsidR="00904A21" w:rsidRDefault="00EA5566" w:rsidP="008260B8">
            <w:pPr>
              <w:spacing w:line="259" w:lineRule="auto"/>
              <w:jc w:val="both"/>
            </w:pPr>
            <w:r>
              <w:t>2</w:t>
            </w:r>
            <w:r w:rsidR="001C29B7">
              <w:t>55</w:t>
            </w:r>
            <w:r>
              <w:t xml:space="preserve"> Kč</w:t>
            </w:r>
          </w:p>
        </w:tc>
      </w:tr>
    </w:tbl>
    <w:p w14:paraId="0348844C" w14:textId="4819370D" w:rsidR="002F2080" w:rsidRDefault="002F2080" w:rsidP="008260B8">
      <w:pPr>
        <w:spacing w:after="0" w:line="259" w:lineRule="auto"/>
        <w:jc w:val="both"/>
      </w:pPr>
    </w:p>
    <w:p w14:paraId="0A61BDF9" w14:textId="5982CE03" w:rsidR="00806420" w:rsidRDefault="00806420" w:rsidP="008260B8">
      <w:pPr>
        <w:spacing w:after="0" w:line="259" w:lineRule="auto"/>
        <w:jc w:val="both"/>
        <w:rPr>
          <w:b/>
          <w:bCs/>
        </w:rPr>
      </w:pPr>
      <w:r>
        <w:rPr>
          <w:b/>
          <w:bCs/>
        </w:rPr>
        <w:t>3. Úhrada za péči</w:t>
      </w:r>
    </w:p>
    <w:p w14:paraId="0A262B79" w14:textId="755E8763" w:rsidR="00806420" w:rsidRDefault="00806420" w:rsidP="008260B8">
      <w:pPr>
        <w:spacing w:after="0" w:line="259" w:lineRule="auto"/>
        <w:jc w:val="both"/>
      </w:pPr>
    </w:p>
    <w:p w14:paraId="467CD747" w14:textId="187537CE" w:rsidR="00806420" w:rsidRDefault="00806420" w:rsidP="008260B8">
      <w:pPr>
        <w:spacing w:after="0" w:line="259" w:lineRule="auto"/>
        <w:jc w:val="both"/>
      </w:pPr>
      <w:r>
        <w:t>Klient, kterému byl přiznán příspěvek na péči dle zákona</w:t>
      </w:r>
      <w:r w:rsidR="000B3ECF">
        <w:t>, hradí kromě úhrad uvedených pod bodem 1. a 2. tohoto odstavce, také náklady za poskytovanou péči ve výši přiznaného měsíčního příspěvku/měsíc (§ 73, odst. 4, písmena a) zákona).</w:t>
      </w:r>
    </w:p>
    <w:p w14:paraId="63EA9E52" w14:textId="3AC88A61" w:rsidR="000B3ECF" w:rsidRDefault="000B3ECF" w:rsidP="008260B8">
      <w:pPr>
        <w:spacing w:after="0" w:line="259" w:lineRule="auto"/>
        <w:jc w:val="both"/>
      </w:pPr>
    </w:p>
    <w:p w14:paraId="3A7175DE" w14:textId="7F3CA362" w:rsidR="000B3ECF" w:rsidRDefault="000B3ECF" w:rsidP="008260B8">
      <w:pPr>
        <w:spacing w:after="0" w:line="259" w:lineRule="auto"/>
        <w:jc w:val="both"/>
      </w:pPr>
      <w:r>
        <w:t>Výsledná úhrada za kalendářní měsíc se vypočítá, jakou součet denních částek za bydlení, skutečně odebranou stravu včetně provozních nákladů (toto neplatí u nezaopatřených dětí), vynásobených skutečným počtem dní v měsíci, k čemuž se přičte výše přiznaného měsíčního příspěvku na péči.</w:t>
      </w:r>
    </w:p>
    <w:p w14:paraId="4EB0F245" w14:textId="754B2B9D" w:rsidR="000B3ECF" w:rsidRDefault="000B3ECF" w:rsidP="008260B8">
      <w:pPr>
        <w:spacing w:after="0" w:line="259" w:lineRule="auto"/>
        <w:jc w:val="both"/>
      </w:pPr>
    </w:p>
    <w:p w14:paraId="5FD50B1D" w14:textId="0810DFE9" w:rsidR="000B3ECF" w:rsidRDefault="000B3ECF" w:rsidP="008260B8">
      <w:pPr>
        <w:spacing w:after="0" w:line="259" w:lineRule="auto"/>
        <w:jc w:val="both"/>
      </w:pPr>
      <w:r>
        <w:t>Po úhradě nákladů dle odstavce 1. a 2. musí klientovi zůstat alespoň 15</w:t>
      </w:r>
      <w:r w:rsidR="00844313">
        <w:t xml:space="preserve"> </w:t>
      </w:r>
      <w:r>
        <w:t>% z jeho celkových příjmů. Částka minimálního zůstatku z příjmu se zaokrouhluje vždy na celé koruny nahoru (ve prospěch klienta).</w:t>
      </w:r>
    </w:p>
    <w:p w14:paraId="0690DCC4" w14:textId="7E7202DF" w:rsidR="000B3ECF" w:rsidRDefault="000B3ECF" w:rsidP="008260B8">
      <w:pPr>
        <w:spacing w:after="0" w:line="259" w:lineRule="auto"/>
        <w:jc w:val="both"/>
      </w:pPr>
    </w:p>
    <w:p w14:paraId="76E523A3" w14:textId="4E3C3145" w:rsidR="000B3ECF" w:rsidRDefault="000B3ECF" w:rsidP="008260B8">
      <w:pPr>
        <w:spacing w:after="0" w:line="259" w:lineRule="auto"/>
        <w:jc w:val="both"/>
      </w:pPr>
      <w:r>
        <w:lastRenderedPageBreak/>
        <w:t>Rozhodným příjmem občana pro stanovení úhrady za poskytované sociální služby se rozumí příjmy uvedené v zákoně o životním a existenčním minimu (§ 7 zákona 110/2006 Sb.). Příjem se zjišťuje ke dni podpisu smlouvy o poskytnutí sociálních služeb.</w:t>
      </w:r>
    </w:p>
    <w:p w14:paraId="763B1308" w14:textId="53561A7B" w:rsidR="000B3ECF" w:rsidRDefault="000B3ECF" w:rsidP="008260B8">
      <w:pPr>
        <w:spacing w:after="0" w:line="259" w:lineRule="auto"/>
        <w:jc w:val="both"/>
      </w:pPr>
    </w:p>
    <w:p w14:paraId="2942D533" w14:textId="72581CE1" w:rsidR="000B3ECF" w:rsidRDefault="000B3ECF" w:rsidP="008260B8">
      <w:pPr>
        <w:spacing w:after="0" w:line="259" w:lineRule="auto"/>
        <w:jc w:val="both"/>
        <w:rPr>
          <w:b/>
          <w:bCs/>
        </w:rPr>
      </w:pPr>
      <w:r>
        <w:rPr>
          <w:b/>
          <w:bCs/>
        </w:rPr>
        <w:t>4. Úhrada za sjednané fakultativní činnosti</w:t>
      </w:r>
    </w:p>
    <w:p w14:paraId="3958CE40" w14:textId="1EED3BB4" w:rsidR="000B3ECF" w:rsidRDefault="000B3ECF" w:rsidP="008260B8">
      <w:pPr>
        <w:spacing w:after="0" w:line="259" w:lineRule="auto"/>
        <w:jc w:val="both"/>
      </w:pPr>
    </w:p>
    <w:p w14:paraId="0E1822B0" w14:textId="5D6B7A90" w:rsidR="000B3ECF" w:rsidRDefault="000B3ECF" w:rsidP="008260B8">
      <w:pPr>
        <w:spacing w:after="0" w:line="259" w:lineRule="auto"/>
        <w:jc w:val="both"/>
      </w:pPr>
      <w:r>
        <w:t xml:space="preserve">Úhrada nákladů za sjednané fakultativní činnosti podle </w:t>
      </w:r>
      <w:r w:rsidR="00B04953">
        <w:t>čl. II., S</w:t>
      </w:r>
      <w:r w:rsidR="000D0B42">
        <w:t>m</w:t>
      </w:r>
      <w:r w:rsidR="00B04953">
        <w:t>louvy o poskytování sociálních služeb se provádí v plné výši vynaložených nákladů na tyto činnosti, tj. úhrada se nesnižuje s ohledem na minimální 15% zůstatek příjmů.</w:t>
      </w:r>
    </w:p>
    <w:p w14:paraId="7F49D055" w14:textId="0E9CCE06" w:rsidR="001F6BFD" w:rsidRPr="000B3ECF" w:rsidRDefault="001F6BFD" w:rsidP="008260B8">
      <w:pPr>
        <w:spacing w:after="0" w:line="259" w:lineRule="auto"/>
        <w:jc w:val="both"/>
      </w:pPr>
      <w:r>
        <w:t xml:space="preserve">Doprava do zdravotnického zařízení k ošetření, vyšetření nebo hospitalizaci je zařazeno do základních činností </w:t>
      </w:r>
      <w:r w:rsidR="00F20FE4">
        <w:t>Domova,</w:t>
      </w:r>
      <w:r>
        <w:t xml:space="preserve"> a proto není účtována jako fakultativní činnost.</w:t>
      </w:r>
    </w:p>
    <w:p w14:paraId="27F8E34B" w14:textId="55E62401" w:rsidR="00120001" w:rsidRDefault="00120001" w:rsidP="008260B8">
      <w:pPr>
        <w:spacing w:after="0" w:line="259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04953" w14:paraId="040E79CA" w14:textId="77777777" w:rsidTr="00B04953">
        <w:tc>
          <w:tcPr>
            <w:tcW w:w="4606" w:type="dxa"/>
          </w:tcPr>
          <w:p w14:paraId="379C6E84" w14:textId="717B37DC" w:rsidR="00B04953" w:rsidRPr="000D0B42" w:rsidRDefault="000D0B42" w:rsidP="008260B8">
            <w:pPr>
              <w:spacing w:line="259" w:lineRule="auto"/>
              <w:jc w:val="both"/>
              <w:rPr>
                <w:b/>
                <w:bCs/>
              </w:rPr>
            </w:pPr>
            <w:r w:rsidRPr="000D0B42">
              <w:rPr>
                <w:b/>
                <w:bCs/>
              </w:rPr>
              <w:t>Druh služby</w:t>
            </w:r>
          </w:p>
        </w:tc>
        <w:tc>
          <w:tcPr>
            <w:tcW w:w="4606" w:type="dxa"/>
          </w:tcPr>
          <w:p w14:paraId="07488477" w14:textId="23FD1475" w:rsidR="00B04953" w:rsidRPr="000D0B42" w:rsidRDefault="000D0B42" w:rsidP="008260B8">
            <w:pPr>
              <w:spacing w:line="259" w:lineRule="auto"/>
              <w:jc w:val="both"/>
              <w:rPr>
                <w:b/>
                <w:bCs/>
              </w:rPr>
            </w:pPr>
            <w:r w:rsidRPr="000D0B42">
              <w:rPr>
                <w:b/>
                <w:bCs/>
              </w:rPr>
              <w:t>Sazba</w:t>
            </w:r>
          </w:p>
        </w:tc>
      </w:tr>
      <w:tr w:rsidR="00B04953" w14:paraId="0071DB3B" w14:textId="77777777" w:rsidTr="00B04953">
        <w:tc>
          <w:tcPr>
            <w:tcW w:w="4606" w:type="dxa"/>
          </w:tcPr>
          <w:p w14:paraId="3A62E278" w14:textId="6B6D7531" w:rsidR="00B04953" w:rsidRDefault="00DA1AAC" w:rsidP="008260B8">
            <w:pPr>
              <w:spacing w:line="259" w:lineRule="auto"/>
              <w:jc w:val="both"/>
            </w:pPr>
            <w:r>
              <w:t>Doprava klienta a jeho věcí do nebo z místa, které označí</w:t>
            </w:r>
            <w:r w:rsidR="00C66F52">
              <w:t>,</w:t>
            </w:r>
            <w:r>
              <w:t xml:space="preserve"> osobním automobilem do 3,5 tuny</w:t>
            </w:r>
          </w:p>
        </w:tc>
        <w:tc>
          <w:tcPr>
            <w:tcW w:w="4606" w:type="dxa"/>
          </w:tcPr>
          <w:p w14:paraId="7E96F63F" w14:textId="0B3785FD" w:rsidR="00B04953" w:rsidRDefault="006828E4" w:rsidP="008260B8">
            <w:pPr>
              <w:spacing w:line="259" w:lineRule="auto"/>
              <w:jc w:val="both"/>
            </w:pPr>
            <w:r>
              <w:t>7</w:t>
            </w:r>
            <w:r w:rsidR="00DA1AAC">
              <w:t xml:space="preserve"> Kč na osobu a km</w:t>
            </w:r>
          </w:p>
        </w:tc>
      </w:tr>
      <w:tr w:rsidR="00B04953" w14:paraId="25598362" w14:textId="77777777" w:rsidTr="00B04953">
        <w:tc>
          <w:tcPr>
            <w:tcW w:w="4606" w:type="dxa"/>
          </w:tcPr>
          <w:p w14:paraId="14BE77B8" w14:textId="45F768F2" w:rsidR="00B04953" w:rsidRDefault="00DA1AAC" w:rsidP="008260B8">
            <w:pPr>
              <w:spacing w:line="259" w:lineRule="auto"/>
              <w:jc w:val="both"/>
            </w:pPr>
            <w:r>
              <w:t>Telefonní soukromé hovory</w:t>
            </w:r>
          </w:p>
        </w:tc>
        <w:tc>
          <w:tcPr>
            <w:tcW w:w="4606" w:type="dxa"/>
          </w:tcPr>
          <w:p w14:paraId="6A038D88" w14:textId="26FFF4A9" w:rsidR="00B04953" w:rsidRDefault="00DA1AAC" w:rsidP="008260B8">
            <w:pPr>
              <w:spacing w:line="259" w:lineRule="auto"/>
              <w:jc w:val="both"/>
            </w:pPr>
            <w:r>
              <w:t>Dle výpisů z vyúčtování telefonních operátorů</w:t>
            </w:r>
          </w:p>
        </w:tc>
      </w:tr>
    </w:tbl>
    <w:p w14:paraId="79000D9B" w14:textId="64930AD7" w:rsidR="00B04953" w:rsidRDefault="00B04953" w:rsidP="008260B8">
      <w:pPr>
        <w:spacing w:after="0" w:line="259" w:lineRule="auto"/>
        <w:jc w:val="both"/>
      </w:pPr>
    </w:p>
    <w:p w14:paraId="7813CC5E" w14:textId="2A94326D" w:rsidR="00C24994" w:rsidRDefault="00C24994" w:rsidP="008260B8">
      <w:pPr>
        <w:spacing w:after="0" w:line="259" w:lineRule="auto"/>
        <w:jc w:val="both"/>
      </w:pPr>
    </w:p>
    <w:p w14:paraId="6963A38B" w14:textId="77777777" w:rsidR="009F7BA4" w:rsidRDefault="009F7BA4" w:rsidP="008260B8">
      <w:pPr>
        <w:spacing w:after="0" w:line="259" w:lineRule="auto"/>
        <w:jc w:val="both"/>
      </w:pPr>
    </w:p>
    <w:p w14:paraId="73140792" w14:textId="77777777" w:rsidR="00853448" w:rsidRDefault="00853448" w:rsidP="008260B8">
      <w:pPr>
        <w:spacing w:after="0" w:line="259" w:lineRule="auto"/>
        <w:jc w:val="both"/>
      </w:pPr>
    </w:p>
    <w:p w14:paraId="7DED3C38" w14:textId="77777777" w:rsidR="00853448" w:rsidRDefault="00853448" w:rsidP="008260B8">
      <w:pPr>
        <w:spacing w:after="0" w:line="259" w:lineRule="auto"/>
        <w:jc w:val="both"/>
      </w:pPr>
    </w:p>
    <w:p w14:paraId="2DE2D790" w14:textId="7274779E" w:rsidR="00C24994" w:rsidRDefault="00C24994" w:rsidP="008260B8">
      <w:pPr>
        <w:spacing w:after="0" w:line="259" w:lineRule="auto"/>
        <w:jc w:val="both"/>
      </w:pPr>
    </w:p>
    <w:p w14:paraId="791DCD19" w14:textId="07523D15" w:rsidR="00C24994" w:rsidRDefault="00C24994" w:rsidP="008260B8">
      <w:pPr>
        <w:spacing w:after="0" w:line="259" w:lineRule="auto"/>
        <w:jc w:val="both"/>
      </w:pPr>
    </w:p>
    <w:p w14:paraId="78FE11FC" w14:textId="4604FC10" w:rsidR="00C24994" w:rsidRDefault="00C24994" w:rsidP="008260B8">
      <w:pPr>
        <w:spacing w:after="0" w:line="259" w:lineRule="auto"/>
        <w:jc w:val="both"/>
      </w:pPr>
    </w:p>
    <w:p w14:paraId="4846D40B" w14:textId="604188DB" w:rsidR="00C24994" w:rsidRDefault="00C24994" w:rsidP="008260B8">
      <w:pPr>
        <w:spacing w:after="0" w:line="259" w:lineRule="auto"/>
        <w:jc w:val="both"/>
      </w:pPr>
    </w:p>
    <w:p w14:paraId="4D2C11C0" w14:textId="2EB1C493" w:rsidR="00C24994" w:rsidRDefault="00C24994" w:rsidP="008260B8">
      <w:pPr>
        <w:spacing w:after="0" w:line="259" w:lineRule="auto"/>
        <w:jc w:val="both"/>
      </w:pPr>
    </w:p>
    <w:p w14:paraId="74CEFC5D" w14:textId="43B46822" w:rsidR="00C24994" w:rsidRDefault="00C24994" w:rsidP="008260B8">
      <w:pPr>
        <w:spacing w:after="0" w:line="259" w:lineRule="auto"/>
        <w:jc w:val="both"/>
      </w:pPr>
    </w:p>
    <w:p w14:paraId="7B0BAD00" w14:textId="09F8D23D" w:rsidR="00C24994" w:rsidRDefault="00C24994" w:rsidP="008260B8">
      <w:pPr>
        <w:spacing w:after="0" w:line="259" w:lineRule="auto"/>
        <w:jc w:val="both"/>
      </w:pPr>
    </w:p>
    <w:p w14:paraId="29A61DBE" w14:textId="64CFC29C" w:rsidR="00C24994" w:rsidRDefault="00C24994" w:rsidP="008260B8">
      <w:pPr>
        <w:spacing w:after="0" w:line="259" w:lineRule="auto"/>
        <w:jc w:val="both"/>
      </w:pPr>
    </w:p>
    <w:p w14:paraId="1169CA8B" w14:textId="228BF13E" w:rsidR="00C24994" w:rsidRDefault="00C24994" w:rsidP="008260B8">
      <w:pPr>
        <w:spacing w:after="0" w:line="259" w:lineRule="auto"/>
        <w:jc w:val="both"/>
      </w:pPr>
    </w:p>
    <w:p w14:paraId="6DB29A95" w14:textId="77E135C5" w:rsidR="00C24994" w:rsidRDefault="00C24994" w:rsidP="008260B8">
      <w:pPr>
        <w:spacing w:after="0" w:line="259" w:lineRule="auto"/>
        <w:jc w:val="both"/>
      </w:pPr>
    </w:p>
    <w:p w14:paraId="15D8B949" w14:textId="3648DC98" w:rsidR="00C24994" w:rsidRDefault="00C24994" w:rsidP="008260B8">
      <w:pPr>
        <w:spacing w:after="0" w:line="259" w:lineRule="auto"/>
        <w:jc w:val="both"/>
      </w:pPr>
    </w:p>
    <w:p w14:paraId="24437A1A" w14:textId="4BB00AD7" w:rsidR="00C24994" w:rsidRDefault="00C24994" w:rsidP="008260B8">
      <w:pPr>
        <w:spacing w:after="0" w:line="259" w:lineRule="auto"/>
        <w:jc w:val="both"/>
      </w:pPr>
    </w:p>
    <w:p w14:paraId="3B9CBA50" w14:textId="06A47199" w:rsidR="00C24994" w:rsidRDefault="00C24994" w:rsidP="008260B8">
      <w:pPr>
        <w:spacing w:after="0" w:line="259" w:lineRule="auto"/>
        <w:jc w:val="both"/>
      </w:pPr>
    </w:p>
    <w:p w14:paraId="6DA6A896" w14:textId="2D9E7090" w:rsidR="00C24994" w:rsidRDefault="00C24994" w:rsidP="008260B8">
      <w:pPr>
        <w:spacing w:after="0" w:line="259" w:lineRule="auto"/>
        <w:jc w:val="both"/>
      </w:pPr>
    </w:p>
    <w:p w14:paraId="325117B5" w14:textId="6C075AF6" w:rsidR="00C24994" w:rsidRDefault="00C24994" w:rsidP="008260B8">
      <w:pPr>
        <w:spacing w:after="0" w:line="259" w:lineRule="auto"/>
        <w:jc w:val="both"/>
      </w:pPr>
    </w:p>
    <w:p w14:paraId="713971E5" w14:textId="43D35900" w:rsidR="00C24994" w:rsidRDefault="00C24994" w:rsidP="008260B8">
      <w:pPr>
        <w:spacing w:after="0" w:line="259" w:lineRule="auto"/>
        <w:jc w:val="both"/>
      </w:pPr>
    </w:p>
    <w:p w14:paraId="1E0A23C1" w14:textId="060A52EC" w:rsidR="00C24994" w:rsidRDefault="00C24994" w:rsidP="008260B8">
      <w:pPr>
        <w:spacing w:after="0" w:line="259" w:lineRule="auto"/>
        <w:jc w:val="both"/>
      </w:pPr>
    </w:p>
    <w:p w14:paraId="43E95BBA" w14:textId="77777777" w:rsidR="000C17BC" w:rsidRDefault="000C17BC" w:rsidP="008260B8">
      <w:pPr>
        <w:spacing w:after="0" w:line="259" w:lineRule="auto"/>
        <w:jc w:val="both"/>
      </w:pPr>
    </w:p>
    <w:p w14:paraId="05C4DECD" w14:textId="77777777" w:rsidR="000C17BC" w:rsidRDefault="000C17BC" w:rsidP="008260B8">
      <w:pPr>
        <w:spacing w:after="0" w:line="259" w:lineRule="auto"/>
        <w:jc w:val="both"/>
      </w:pPr>
    </w:p>
    <w:p w14:paraId="6C8DF1BE" w14:textId="77777777" w:rsidR="000C17BC" w:rsidRDefault="000C17BC" w:rsidP="008260B8">
      <w:pPr>
        <w:spacing w:after="0" w:line="259" w:lineRule="auto"/>
        <w:jc w:val="both"/>
      </w:pPr>
    </w:p>
    <w:p w14:paraId="7270DF5F" w14:textId="77777777" w:rsidR="000C17BC" w:rsidRDefault="000C17BC" w:rsidP="008260B8">
      <w:pPr>
        <w:spacing w:after="0" w:line="259" w:lineRule="auto"/>
        <w:jc w:val="both"/>
      </w:pPr>
    </w:p>
    <w:p w14:paraId="186061C8" w14:textId="77777777" w:rsidR="00A838AA" w:rsidRDefault="00A838AA" w:rsidP="008260B8">
      <w:pPr>
        <w:spacing w:after="0" w:line="259" w:lineRule="auto"/>
        <w:jc w:val="both"/>
      </w:pPr>
    </w:p>
    <w:p w14:paraId="7A6083A4" w14:textId="77777777" w:rsidR="00A838AA" w:rsidRDefault="00A838AA" w:rsidP="008260B8">
      <w:pPr>
        <w:spacing w:after="0" w:line="259" w:lineRule="auto"/>
        <w:jc w:val="both"/>
      </w:pPr>
    </w:p>
    <w:p w14:paraId="1C74EB2F" w14:textId="77777777" w:rsidR="00A838AA" w:rsidRDefault="00A838AA" w:rsidP="008260B8">
      <w:pPr>
        <w:spacing w:after="0" w:line="259" w:lineRule="auto"/>
        <w:jc w:val="both"/>
      </w:pPr>
    </w:p>
    <w:p w14:paraId="11C7A855" w14:textId="77777777" w:rsidR="00C24994" w:rsidRPr="0094662B" w:rsidRDefault="00C24994" w:rsidP="008260B8">
      <w:pPr>
        <w:spacing w:after="0" w:line="259" w:lineRule="auto"/>
        <w:jc w:val="both"/>
      </w:pPr>
    </w:p>
    <w:p w14:paraId="09EFE215" w14:textId="34E529F5" w:rsidR="00463288" w:rsidRPr="00852A54" w:rsidRDefault="00120001" w:rsidP="00463288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7</w:t>
      </w:r>
      <w:r w:rsidR="00463288" w:rsidRPr="00852A54">
        <w:rPr>
          <w:rFonts w:cstheme="minorHAnsi"/>
          <w:b/>
          <w:sz w:val="20"/>
          <w:szCs w:val="20"/>
        </w:rPr>
        <w:t>. Přehled změn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6410"/>
      </w:tblGrid>
      <w:tr w:rsidR="00463288" w:rsidRPr="00852A54" w14:paraId="0BF0F6C3" w14:textId="77777777" w:rsidTr="007B366D">
        <w:tc>
          <w:tcPr>
            <w:tcW w:w="1384" w:type="dxa"/>
          </w:tcPr>
          <w:p w14:paraId="52C0EE88" w14:textId="77777777" w:rsidR="00463288" w:rsidRPr="00852A54" w:rsidRDefault="00463288" w:rsidP="007B366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52A54">
              <w:rPr>
                <w:rFonts w:cstheme="minorHAnsi"/>
                <w:b/>
                <w:sz w:val="20"/>
                <w:szCs w:val="20"/>
              </w:rPr>
              <w:t>Dokument:</w:t>
            </w:r>
          </w:p>
          <w:p w14:paraId="4E8BCC5E" w14:textId="77777777" w:rsidR="00463288" w:rsidRPr="00852A54" w:rsidRDefault="00463288" w:rsidP="007B366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828" w:type="dxa"/>
            <w:gridSpan w:val="2"/>
          </w:tcPr>
          <w:p w14:paraId="642C20BE" w14:textId="382BD8C0" w:rsidR="00463288" w:rsidRPr="00852A54" w:rsidRDefault="004F5634" w:rsidP="007B366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OS 2 – </w:t>
            </w:r>
            <w:r w:rsidR="00662265">
              <w:rPr>
                <w:rFonts w:cstheme="minorHAnsi"/>
                <w:b/>
                <w:sz w:val="20"/>
                <w:szCs w:val="20"/>
              </w:rPr>
              <w:t>Stanovení úhrad</w:t>
            </w:r>
            <w:r w:rsidR="00E63E64">
              <w:rPr>
                <w:rFonts w:cstheme="minorHAnsi"/>
                <w:b/>
                <w:sz w:val="20"/>
                <w:szCs w:val="20"/>
              </w:rPr>
              <w:t xml:space="preserve"> a způsob účtování úhrad</w:t>
            </w:r>
            <w:r w:rsidR="00662265">
              <w:rPr>
                <w:rFonts w:cstheme="minorHAnsi"/>
                <w:b/>
                <w:sz w:val="20"/>
                <w:szCs w:val="20"/>
              </w:rPr>
              <w:t xml:space="preserve"> v Domově</w:t>
            </w:r>
          </w:p>
        </w:tc>
      </w:tr>
      <w:tr w:rsidR="00463288" w:rsidRPr="00852A54" w14:paraId="41C2AEBD" w14:textId="77777777" w:rsidTr="007B366D">
        <w:tc>
          <w:tcPr>
            <w:tcW w:w="1384" w:type="dxa"/>
          </w:tcPr>
          <w:p w14:paraId="3637533C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 w:rsidRPr="00852A54">
              <w:rPr>
                <w:rFonts w:cstheme="minorHAnsi"/>
                <w:sz w:val="20"/>
                <w:szCs w:val="20"/>
              </w:rPr>
              <w:t>Datum</w:t>
            </w:r>
          </w:p>
          <w:p w14:paraId="0380E7B6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45EC77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 w:rsidRPr="00852A54">
              <w:rPr>
                <w:rFonts w:cstheme="minorHAnsi"/>
                <w:sz w:val="20"/>
                <w:szCs w:val="20"/>
              </w:rPr>
              <w:t>Kap./str.</w:t>
            </w:r>
          </w:p>
        </w:tc>
        <w:tc>
          <w:tcPr>
            <w:tcW w:w="6410" w:type="dxa"/>
          </w:tcPr>
          <w:p w14:paraId="2C8D3F50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 w:rsidRPr="00852A54">
              <w:rPr>
                <w:rFonts w:cstheme="minorHAnsi"/>
                <w:sz w:val="20"/>
                <w:szCs w:val="20"/>
              </w:rPr>
              <w:t>Popis změny</w:t>
            </w:r>
          </w:p>
        </w:tc>
      </w:tr>
      <w:tr w:rsidR="00463288" w:rsidRPr="00852A54" w14:paraId="10870916" w14:textId="77777777" w:rsidTr="007B366D">
        <w:tc>
          <w:tcPr>
            <w:tcW w:w="1384" w:type="dxa"/>
          </w:tcPr>
          <w:p w14:paraId="64B66EDC" w14:textId="12960B70" w:rsidR="00463288" w:rsidRPr="00852A54" w:rsidRDefault="000C17BC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1.7.2023</w:t>
            </w:r>
          </w:p>
          <w:p w14:paraId="45C7E4D5" w14:textId="39FEE16D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A2A356" w14:textId="761CB8E3" w:rsidR="00463288" w:rsidRPr="00852A54" w:rsidRDefault="000C17BC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Příloha č.1/5.</w:t>
            </w:r>
          </w:p>
        </w:tc>
        <w:tc>
          <w:tcPr>
            <w:tcW w:w="6410" w:type="dxa"/>
          </w:tcPr>
          <w:p w14:paraId="739124CE" w14:textId="77777777" w:rsidR="00463288" w:rsidRDefault="000C17BC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Vložena nová fakultativní služba: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048"/>
              <w:gridCol w:w="3136"/>
            </w:tblGrid>
            <w:tr w:rsidR="000C17BC" w:rsidRPr="00CC27CF" w14:paraId="4A3C01BD" w14:textId="77777777" w:rsidTr="003B458C">
              <w:tc>
                <w:tcPr>
                  <w:tcW w:w="4606" w:type="dxa"/>
                </w:tcPr>
                <w:p w14:paraId="223DEEEB" w14:textId="77777777" w:rsidR="000C17BC" w:rsidRPr="00CC27CF" w:rsidRDefault="000C17BC" w:rsidP="000C17BC">
                  <w:pPr>
                    <w:spacing w:line="259" w:lineRule="auto"/>
                    <w:jc w:val="both"/>
                  </w:pPr>
                  <w:r w:rsidRPr="00CC27CF">
                    <w:rPr>
                      <w:rFonts w:eastAsia="Times New Roman" w:cstheme="minorHAnsi"/>
                      <w:lang w:eastAsia="cs-CZ"/>
                    </w:rPr>
                    <w:t>Kapesné pro osobní potřebu klienta na plnění osobních přání a tužeb – pouze DOZP VILÍK</w:t>
                  </w:r>
                </w:p>
              </w:tc>
              <w:tc>
                <w:tcPr>
                  <w:tcW w:w="4606" w:type="dxa"/>
                </w:tcPr>
                <w:p w14:paraId="3D037F6B" w14:textId="77777777" w:rsidR="000C17BC" w:rsidRPr="00CC27CF" w:rsidRDefault="000C17BC" w:rsidP="000C17BC">
                  <w:pPr>
                    <w:spacing w:line="259" w:lineRule="auto"/>
                    <w:jc w:val="both"/>
                  </w:pPr>
                  <w:r w:rsidRPr="00CC27CF">
                    <w:t>500 Kč – 1 000 Kč (kalendářní měsíc) dle uzavřené smlouvy</w:t>
                  </w:r>
                </w:p>
              </w:tc>
            </w:tr>
          </w:tbl>
          <w:p w14:paraId="1A60D98F" w14:textId="285D6627" w:rsidR="000C17BC" w:rsidRPr="00852A54" w:rsidRDefault="000C17BC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3288" w:rsidRPr="00852A54" w14:paraId="5DD3379E" w14:textId="77777777" w:rsidTr="007B366D">
        <w:tc>
          <w:tcPr>
            <w:tcW w:w="1384" w:type="dxa"/>
          </w:tcPr>
          <w:p w14:paraId="27744512" w14:textId="1C6A99C1" w:rsidR="00463288" w:rsidRPr="00852A54" w:rsidRDefault="00A838AA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8.1.2024</w:t>
            </w:r>
          </w:p>
          <w:p w14:paraId="328A803B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663639" w14:textId="0000906C" w:rsidR="00463288" w:rsidRPr="00852A54" w:rsidRDefault="00A838AA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Příloha č.1/4</w:t>
            </w:r>
          </w:p>
        </w:tc>
        <w:tc>
          <w:tcPr>
            <w:tcW w:w="6410" w:type="dxa"/>
          </w:tcPr>
          <w:p w14:paraId="16BA95BD" w14:textId="77777777" w:rsidR="00A838AA" w:rsidRDefault="00A838AA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Změna v cenách Z: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154"/>
              <w:gridCol w:w="3030"/>
            </w:tblGrid>
            <w:tr w:rsidR="00A838AA" w14:paraId="3211BDD9" w14:textId="77777777" w:rsidTr="000F56AF">
              <w:tc>
                <w:tcPr>
                  <w:tcW w:w="4606" w:type="dxa"/>
                </w:tcPr>
                <w:p w14:paraId="35E9956B" w14:textId="77777777" w:rsidR="00A838AA" w:rsidRPr="00A838AA" w:rsidRDefault="00A838AA" w:rsidP="00A838AA">
                  <w:pPr>
                    <w:spacing w:line="259" w:lineRule="auto"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A838AA">
                    <w:rPr>
                      <w:b/>
                      <w:bCs/>
                      <w:sz w:val="16"/>
                      <w:szCs w:val="16"/>
                    </w:rPr>
                    <w:t>Druh pokoje</w:t>
                  </w:r>
                </w:p>
              </w:tc>
              <w:tc>
                <w:tcPr>
                  <w:tcW w:w="4606" w:type="dxa"/>
                </w:tcPr>
                <w:p w14:paraId="5D160D86" w14:textId="77777777" w:rsidR="00A838AA" w:rsidRPr="00A838AA" w:rsidRDefault="00A838AA" w:rsidP="00A838AA">
                  <w:pPr>
                    <w:spacing w:line="259" w:lineRule="auto"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A838AA">
                    <w:rPr>
                      <w:b/>
                      <w:bCs/>
                      <w:sz w:val="16"/>
                      <w:szCs w:val="16"/>
                    </w:rPr>
                    <w:t>Denní platba klienta</w:t>
                  </w:r>
                </w:p>
              </w:tc>
            </w:tr>
            <w:tr w:rsidR="00A838AA" w14:paraId="40D9C5B3" w14:textId="77777777" w:rsidTr="000F56AF">
              <w:tc>
                <w:tcPr>
                  <w:tcW w:w="4606" w:type="dxa"/>
                </w:tcPr>
                <w:p w14:paraId="6DAD0472" w14:textId="77777777" w:rsidR="00A838AA" w:rsidRPr="00A838AA" w:rsidRDefault="00A838AA" w:rsidP="00A838AA">
                  <w:pPr>
                    <w:spacing w:line="259" w:lineRule="auto"/>
                    <w:jc w:val="both"/>
                    <w:rPr>
                      <w:sz w:val="16"/>
                      <w:szCs w:val="16"/>
                    </w:rPr>
                  </w:pPr>
                  <w:r w:rsidRPr="00A838AA">
                    <w:rPr>
                      <w:sz w:val="16"/>
                      <w:szCs w:val="16"/>
                    </w:rPr>
                    <w:t>Pokoj se třemi obyvateli</w:t>
                  </w:r>
                </w:p>
              </w:tc>
              <w:tc>
                <w:tcPr>
                  <w:tcW w:w="4606" w:type="dxa"/>
                </w:tcPr>
                <w:p w14:paraId="219088B8" w14:textId="601B2DCA" w:rsidR="00A838AA" w:rsidRPr="00A838AA" w:rsidRDefault="00A838AA" w:rsidP="00A838AA">
                  <w:pPr>
                    <w:spacing w:line="259" w:lineRule="auto"/>
                    <w:jc w:val="both"/>
                    <w:rPr>
                      <w:sz w:val="16"/>
                      <w:szCs w:val="16"/>
                    </w:rPr>
                  </w:pPr>
                  <w:r w:rsidRPr="00A838AA">
                    <w:rPr>
                      <w:sz w:val="16"/>
                      <w:szCs w:val="16"/>
                    </w:rPr>
                    <w:t>240 Kč</w:t>
                  </w:r>
                </w:p>
              </w:tc>
            </w:tr>
            <w:tr w:rsidR="00A838AA" w14:paraId="3535728A" w14:textId="77777777" w:rsidTr="000F56AF">
              <w:tc>
                <w:tcPr>
                  <w:tcW w:w="4606" w:type="dxa"/>
                </w:tcPr>
                <w:p w14:paraId="7D82291C" w14:textId="77777777" w:rsidR="00A838AA" w:rsidRPr="00A838AA" w:rsidRDefault="00A838AA" w:rsidP="00A838AA">
                  <w:pPr>
                    <w:spacing w:line="259" w:lineRule="auto"/>
                    <w:jc w:val="both"/>
                    <w:rPr>
                      <w:sz w:val="16"/>
                      <w:szCs w:val="16"/>
                    </w:rPr>
                  </w:pPr>
                  <w:r w:rsidRPr="00A838AA">
                    <w:rPr>
                      <w:sz w:val="16"/>
                      <w:szCs w:val="16"/>
                    </w:rPr>
                    <w:t>Pokoj se dvěma obyvateli II. kategorie</w:t>
                  </w:r>
                </w:p>
              </w:tc>
              <w:tc>
                <w:tcPr>
                  <w:tcW w:w="4606" w:type="dxa"/>
                </w:tcPr>
                <w:p w14:paraId="05700326" w14:textId="51E4413B" w:rsidR="00A838AA" w:rsidRPr="00A838AA" w:rsidRDefault="00A838AA" w:rsidP="00A838AA">
                  <w:pPr>
                    <w:spacing w:line="259" w:lineRule="auto"/>
                    <w:jc w:val="both"/>
                    <w:rPr>
                      <w:sz w:val="16"/>
                      <w:szCs w:val="16"/>
                    </w:rPr>
                  </w:pPr>
                  <w:r w:rsidRPr="00A838AA">
                    <w:rPr>
                      <w:sz w:val="16"/>
                      <w:szCs w:val="16"/>
                    </w:rPr>
                    <w:t>260 Kč</w:t>
                  </w:r>
                </w:p>
              </w:tc>
            </w:tr>
            <w:tr w:rsidR="00A838AA" w14:paraId="4BE82EA5" w14:textId="77777777" w:rsidTr="000F56AF">
              <w:tc>
                <w:tcPr>
                  <w:tcW w:w="4606" w:type="dxa"/>
                </w:tcPr>
                <w:p w14:paraId="5E77F8A4" w14:textId="77777777" w:rsidR="00A838AA" w:rsidRPr="00A838AA" w:rsidRDefault="00A838AA" w:rsidP="00A838AA">
                  <w:pPr>
                    <w:spacing w:line="259" w:lineRule="auto"/>
                    <w:jc w:val="both"/>
                    <w:rPr>
                      <w:sz w:val="16"/>
                      <w:szCs w:val="16"/>
                    </w:rPr>
                  </w:pPr>
                  <w:r w:rsidRPr="00A838AA">
                    <w:rPr>
                      <w:sz w:val="16"/>
                      <w:szCs w:val="16"/>
                    </w:rPr>
                    <w:t>Pokoj se dvěma obyvateli I. kategorie</w:t>
                  </w:r>
                </w:p>
              </w:tc>
              <w:tc>
                <w:tcPr>
                  <w:tcW w:w="4606" w:type="dxa"/>
                </w:tcPr>
                <w:p w14:paraId="3B8A839F" w14:textId="1587942B" w:rsidR="00A838AA" w:rsidRPr="00A838AA" w:rsidRDefault="00A838AA" w:rsidP="00A838AA">
                  <w:pPr>
                    <w:spacing w:line="259" w:lineRule="auto"/>
                    <w:jc w:val="both"/>
                    <w:rPr>
                      <w:sz w:val="16"/>
                      <w:szCs w:val="16"/>
                    </w:rPr>
                  </w:pPr>
                  <w:r w:rsidRPr="00A838AA">
                    <w:rPr>
                      <w:sz w:val="16"/>
                      <w:szCs w:val="16"/>
                    </w:rPr>
                    <w:t>270 Kč</w:t>
                  </w:r>
                </w:p>
              </w:tc>
            </w:tr>
            <w:tr w:rsidR="00A838AA" w14:paraId="43E51733" w14:textId="77777777" w:rsidTr="000F56AF">
              <w:tc>
                <w:tcPr>
                  <w:tcW w:w="4606" w:type="dxa"/>
                </w:tcPr>
                <w:p w14:paraId="25525F83" w14:textId="77777777" w:rsidR="00A838AA" w:rsidRPr="00A838AA" w:rsidRDefault="00A838AA" w:rsidP="00A838AA">
                  <w:pPr>
                    <w:spacing w:line="259" w:lineRule="auto"/>
                    <w:jc w:val="both"/>
                    <w:rPr>
                      <w:sz w:val="16"/>
                      <w:szCs w:val="16"/>
                    </w:rPr>
                  </w:pPr>
                  <w:r w:rsidRPr="00A838AA">
                    <w:rPr>
                      <w:sz w:val="16"/>
                      <w:szCs w:val="16"/>
                    </w:rPr>
                    <w:t>Pokoj s jedním obyvatelem</w:t>
                  </w:r>
                </w:p>
              </w:tc>
              <w:tc>
                <w:tcPr>
                  <w:tcW w:w="4606" w:type="dxa"/>
                </w:tcPr>
                <w:p w14:paraId="6426E9D2" w14:textId="101DCE27" w:rsidR="00A838AA" w:rsidRPr="00A838AA" w:rsidRDefault="00A838AA" w:rsidP="00A838AA">
                  <w:pPr>
                    <w:spacing w:line="259" w:lineRule="auto"/>
                    <w:jc w:val="both"/>
                    <w:rPr>
                      <w:sz w:val="16"/>
                      <w:szCs w:val="16"/>
                    </w:rPr>
                  </w:pPr>
                  <w:r w:rsidRPr="00A838AA">
                    <w:rPr>
                      <w:sz w:val="16"/>
                      <w:szCs w:val="16"/>
                    </w:rPr>
                    <w:t>280 Kč</w:t>
                  </w:r>
                </w:p>
              </w:tc>
            </w:tr>
          </w:tbl>
          <w:p w14:paraId="46B7C74F" w14:textId="4CD03C93" w:rsidR="00A838AA" w:rsidRDefault="00A838AA" w:rsidP="00A838AA">
            <w:pPr>
              <w:spacing w:line="259" w:lineRule="auto"/>
              <w:jc w:val="both"/>
            </w:pPr>
            <w:r>
              <w:t>Na: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154"/>
              <w:gridCol w:w="3030"/>
            </w:tblGrid>
            <w:tr w:rsidR="00A838AA" w14:paraId="2A222BAD" w14:textId="77777777" w:rsidTr="000F56AF">
              <w:tc>
                <w:tcPr>
                  <w:tcW w:w="4606" w:type="dxa"/>
                </w:tcPr>
                <w:p w14:paraId="0B4B7358" w14:textId="77777777" w:rsidR="00A838AA" w:rsidRPr="00A838AA" w:rsidRDefault="00A838AA" w:rsidP="00A838AA">
                  <w:pPr>
                    <w:spacing w:line="259" w:lineRule="auto"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A838AA">
                    <w:rPr>
                      <w:b/>
                      <w:bCs/>
                      <w:sz w:val="16"/>
                      <w:szCs w:val="16"/>
                    </w:rPr>
                    <w:t>Druh pokoje</w:t>
                  </w:r>
                </w:p>
              </w:tc>
              <w:tc>
                <w:tcPr>
                  <w:tcW w:w="4606" w:type="dxa"/>
                </w:tcPr>
                <w:p w14:paraId="6894A8F2" w14:textId="77777777" w:rsidR="00A838AA" w:rsidRPr="00A838AA" w:rsidRDefault="00A838AA" w:rsidP="00A838AA">
                  <w:pPr>
                    <w:spacing w:line="259" w:lineRule="auto"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A838AA">
                    <w:rPr>
                      <w:b/>
                      <w:bCs/>
                      <w:sz w:val="16"/>
                      <w:szCs w:val="16"/>
                    </w:rPr>
                    <w:t>Denní platba klienta</w:t>
                  </w:r>
                </w:p>
              </w:tc>
            </w:tr>
            <w:tr w:rsidR="00A838AA" w14:paraId="04F68064" w14:textId="77777777" w:rsidTr="000F56AF">
              <w:tc>
                <w:tcPr>
                  <w:tcW w:w="4606" w:type="dxa"/>
                </w:tcPr>
                <w:p w14:paraId="7BF24491" w14:textId="77777777" w:rsidR="00A838AA" w:rsidRPr="00A838AA" w:rsidRDefault="00A838AA" w:rsidP="00A838AA">
                  <w:pPr>
                    <w:spacing w:line="259" w:lineRule="auto"/>
                    <w:jc w:val="both"/>
                    <w:rPr>
                      <w:sz w:val="16"/>
                      <w:szCs w:val="16"/>
                    </w:rPr>
                  </w:pPr>
                  <w:r w:rsidRPr="00A838AA">
                    <w:rPr>
                      <w:sz w:val="16"/>
                      <w:szCs w:val="16"/>
                    </w:rPr>
                    <w:t>Pokoj se třemi obyvateli</w:t>
                  </w:r>
                </w:p>
              </w:tc>
              <w:tc>
                <w:tcPr>
                  <w:tcW w:w="4606" w:type="dxa"/>
                </w:tcPr>
                <w:p w14:paraId="183D5BC6" w14:textId="77777777" w:rsidR="00A838AA" w:rsidRPr="00A838AA" w:rsidRDefault="00A838AA" w:rsidP="00A838AA">
                  <w:pPr>
                    <w:spacing w:line="259" w:lineRule="auto"/>
                    <w:jc w:val="both"/>
                    <w:rPr>
                      <w:sz w:val="16"/>
                      <w:szCs w:val="16"/>
                    </w:rPr>
                  </w:pPr>
                  <w:r w:rsidRPr="00A838AA">
                    <w:rPr>
                      <w:sz w:val="16"/>
                      <w:szCs w:val="16"/>
                    </w:rPr>
                    <w:t>265 Kč</w:t>
                  </w:r>
                </w:p>
              </w:tc>
            </w:tr>
            <w:tr w:rsidR="00A838AA" w14:paraId="6C81D45E" w14:textId="77777777" w:rsidTr="000F56AF">
              <w:tc>
                <w:tcPr>
                  <w:tcW w:w="4606" w:type="dxa"/>
                </w:tcPr>
                <w:p w14:paraId="7FA83E69" w14:textId="77777777" w:rsidR="00A838AA" w:rsidRPr="00A838AA" w:rsidRDefault="00A838AA" w:rsidP="00A838AA">
                  <w:pPr>
                    <w:spacing w:line="259" w:lineRule="auto"/>
                    <w:jc w:val="both"/>
                    <w:rPr>
                      <w:sz w:val="16"/>
                      <w:szCs w:val="16"/>
                    </w:rPr>
                  </w:pPr>
                  <w:r w:rsidRPr="00A838AA">
                    <w:rPr>
                      <w:sz w:val="16"/>
                      <w:szCs w:val="16"/>
                    </w:rPr>
                    <w:t>Pokoj se dvěma obyvateli II. kategorie</w:t>
                  </w:r>
                </w:p>
              </w:tc>
              <w:tc>
                <w:tcPr>
                  <w:tcW w:w="4606" w:type="dxa"/>
                </w:tcPr>
                <w:p w14:paraId="746F4A49" w14:textId="77777777" w:rsidR="00A838AA" w:rsidRPr="00A838AA" w:rsidRDefault="00A838AA" w:rsidP="00A838AA">
                  <w:pPr>
                    <w:spacing w:line="259" w:lineRule="auto"/>
                    <w:jc w:val="both"/>
                    <w:rPr>
                      <w:sz w:val="16"/>
                      <w:szCs w:val="16"/>
                    </w:rPr>
                  </w:pPr>
                  <w:r w:rsidRPr="00A838AA">
                    <w:rPr>
                      <w:sz w:val="16"/>
                      <w:szCs w:val="16"/>
                    </w:rPr>
                    <w:t>285 Kč</w:t>
                  </w:r>
                </w:p>
              </w:tc>
            </w:tr>
            <w:tr w:rsidR="00A838AA" w14:paraId="72AA0F6F" w14:textId="77777777" w:rsidTr="000F56AF">
              <w:tc>
                <w:tcPr>
                  <w:tcW w:w="4606" w:type="dxa"/>
                </w:tcPr>
                <w:p w14:paraId="4BBD121C" w14:textId="77777777" w:rsidR="00A838AA" w:rsidRPr="00A838AA" w:rsidRDefault="00A838AA" w:rsidP="00A838AA">
                  <w:pPr>
                    <w:spacing w:line="259" w:lineRule="auto"/>
                    <w:jc w:val="both"/>
                    <w:rPr>
                      <w:sz w:val="16"/>
                      <w:szCs w:val="16"/>
                    </w:rPr>
                  </w:pPr>
                  <w:r w:rsidRPr="00A838AA">
                    <w:rPr>
                      <w:sz w:val="16"/>
                      <w:szCs w:val="16"/>
                    </w:rPr>
                    <w:t>Pokoj se dvěma obyvateli I. kategorie</w:t>
                  </w:r>
                </w:p>
              </w:tc>
              <w:tc>
                <w:tcPr>
                  <w:tcW w:w="4606" w:type="dxa"/>
                </w:tcPr>
                <w:p w14:paraId="2F6C8EAB" w14:textId="77777777" w:rsidR="00A838AA" w:rsidRPr="00A838AA" w:rsidRDefault="00A838AA" w:rsidP="00A838AA">
                  <w:pPr>
                    <w:spacing w:line="259" w:lineRule="auto"/>
                    <w:jc w:val="both"/>
                    <w:rPr>
                      <w:sz w:val="16"/>
                      <w:szCs w:val="16"/>
                    </w:rPr>
                  </w:pPr>
                  <w:r w:rsidRPr="00A838AA">
                    <w:rPr>
                      <w:sz w:val="16"/>
                      <w:szCs w:val="16"/>
                    </w:rPr>
                    <w:t>295 Kč</w:t>
                  </w:r>
                </w:p>
              </w:tc>
            </w:tr>
            <w:tr w:rsidR="00A838AA" w14:paraId="08A669DC" w14:textId="77777777" w:rsidTr="000F56AF">
              <w:tc>
                <w:tcPr>
                  <w:tcW w:w="4606" w:type="dxa"/>
                </w:tcPr>
                <w:p w14:paraId="011F02F3" w14:textId="77777777" w:rsidR="00A838AA" w:rsidRPr="00A838AA" w:rsidRDefault="00A838AA" w:rsidP="00A838AA">
                  <w:pPr>
                    <w:spacing w:line="259" w:lineRule="auto"/>
                    <w:jc w:val="both"/>
                    <w:rPr>
                      <w:sz w:val="16"/>
                      <w:szCs w:val="16"/>
                    </w:rPr>
                  </w:pPr>
                  <w:r w:rsidRPr="00A838AA">
                    <w:rPr>
                      <w:sz w:val="16"/>
                      <w:szCs w:val="16"/>
                    </w:rPr>
                    <w:t>Pokoj s jedním obyvatelem</w:t>
                  </w:r>
                </w:p>
              </w:tc>
              <w:tc>
                <w:tcPr>
                  <w:tcW w:w="4606" w:type="dxa"/>
                </w:tcPr>
                <w:p w14:paraId="1DC0CDDD" w14:textId="77777777" w:rsidR="00A838AA" w:rsidRPr="00A838AA" w:rsidRDefault="00A838AA" w:rsidP="00A838AA">
                  <w:pPr>
                    <w:spacing w:line="259" w:lineRule="auto"/>
                    <w:jc w:val="both"/>
                    <w:rPr>
                      <w:sz w:val="16"/>
                      <w:szCs w:val="16"/>
                    </w:rPr>
                  </w:pPr>
                  <w:r w:rsidRPr="00A838AA">
                    <w:rPr>
                      <w:sz w:val="16"/>
                      <w:szCs w:val="16"/>
                    </w:rPr>
                    <w:t>305 Kč</w:t>
                  </w:r>
                </w:p>
              </w:tc>
            </w:tr>
          </w:tbl>
          <w:p w14:paraId="1A3AD392" w14:textId="1E9F3749" w:rsidR="00A838AA" w:rsidRPr="00852A54" w:rsidRDefault="00A838AA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3288" w:rsidRPr="00852A54" w14:paraId="1C916713" w14:textId="77777777" w:rsidTr="007B366D">
        <w:tc>
          <w:tcPr>
            <w:tcW w:w="1384" w:type="dxa"/>
          </w:tcPr>
          <w:p w14:paraId="0B098F5A" w14:textId="48632FDF" w:rsidR="00463288" w:rsidRPr="00852A54" w:rsidRDefault="00A838AA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8.1.2024</w:t>
            </w:r>
          </w:p>
          <w:p w14:paraId="08CD3934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183AA2" w14:textId="32E0993D" w:rsidR="00463288" w:rsidRPr="00852A54" w:rsidRDefault="00A838AA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Příloha č.1/4</w:t>
            </w:r>
          </w:p>
        </w:tc>
        <w:tc>
          <w:tcPr>
            <w:tcW w:w="6410" w:type="dxa"/>
          </w:tcPr>
          <w:p w14:paraId="04437619" w14:textId="77777777" w:rsidR="00463288" w:rsidRDefault="00A838AA" w:rsidP="009466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Změna v cenách Z: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814"/>
              <w:gridCol w:w="1574"/>
              <w:gridCol w:w="1349"/>
              <w:gridCol w:w="1447"/>
            </w:tblGrid>
            <w:tr w:rsidR="00A838AA" w:rsidRPr="000D0B42" w14:paraId="71E5FE33" w14:textId="77777777" w:rsidTr="000F56AF">
              <w:tc>
                <w:tcPr>
                  <w:tcW w:w="2802" w:type="dxa"/>
                </w:tcPr>
                <w:p w14:paraId="6A820912" w14:textId="77777777" w:rsidR="00A838AA" w:rsidRPr="00A838AA" w:rsidRDefault="00A838AA" w:rsidP="00A838AA">
                  <w:pPr>
                    <w:spacing w:line="259" w:lineRule="auto"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A838AA">
                    <w:rPr>
                      <w:b/>
                      <w:bCs/>
                      <w:sz w:val="16"/>
                      <w:szCs w:val="16"/>
                    </w:rPr>
                    <w:t>Klient</w:t>
                  </w:r>
                </w:p>
              </w:tc>
              <w:tc>
                <w:tcPr>
                  <w:tcW w:w="2268" w:type="dxa"/>
                </w:tcPr>
                <w:p w14:paraId="19A2E47D" w14:textId="77777777" w:rsidR="00A838AA" w:rsidRPr="00A838AA" w:rsidRDefault="00A838AA" w:rsidP="00A838AA">
                  <w:pPr>
                    <w:spacing w:line="259" w:lineRule="auto"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A838AA">
                    <w:rPr>
                      <w:b/>
                      <w:bCs/>
                      <w:sz w:val="16"/>
                      <w:szCs w:val="16"/>
                    </w:rPr>
                    <w:t>Stravovací jednotka</w:t>
                  </w:r>
                </w:p>
              </w:tc>
              <w:tc>
                <w:tcPr>
                  <w:tcW w:w="1984" w:type="dxa"/>
                </w:tcPr>
                <w:p w14:paraId="192446EF" w14:textId="77777777" w:rsidR="00A838AA" w:rsidRPr="00A838AA" w:rsidRDefault="00A838AA" w:rsidP="00A838AA">
                  <w:pPr>
                    <w:spacing w:line="259" w:lineRule="auto"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A838AA">
                    <w:rPr>
                      <w:b/>
                      <w:bCs/>
                      <w:sz w:val="16"/>
                      <w:szCs w:val="16"/>
                    </w:rPr>
                    <w:t>Režijní náklady</w:t>
                  </w:r>
                </w:p>
              </w:tc>
              <w:tc>
                <w:tcPr>
                  <w:tcW w:w="2234" w:type="dxa"/>
                </w:tcPr>
                <w:p w14:paraId="1FC20928" w14:textId="77777777" w:rsidR="00A838AA" w:rsidRPr="00A838AA" w:rsidRDefault="00A838AA" w:rsidP="00A838AA">
                  <w:pPr>
                    <w:spacing w:line="259" w:lineRule="auto"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A838AA">
                    <w:rPr>
                      <w:b/>
                      <w:bCs/>
                      <w:sz w:val="16"/>
                      <w:szCs w:val="16"/>
                    </w:rPr>
                    <w:t>Denní úhrada klienta</w:t>
                  </w:r>
                </w:p>
              </w:tc>
            </w:tr>
            <w:tr w:rsidR="00A838AA" w14:paraId="42F4D148" w14:textId="77777777" w:rsidTr="000F56AF">
              <w:tc>
                <w:tcPr>
                  <w:tcW w:w="2802" w:type="dxa"/>
                </w:tcPr>
                <w:p w14:paraId="1F55CCFC" w14:textId="77777777" w:rsidR="00A838AA" w:rsidRPr="00A838AA" w:rsidRDefault="00A838AA" w:rsidP="00A838AA">
                  <w:pPr>
                    <w:spacing w:line="259" w:lineRule="auto"/>
                    <w:jc w:val="both"/>
                    <w:rPr>
                      <w:sz w:val="16"/>
                      <w:szCs w:val="16"/>
                    </w:rPr>
                  </w:pPr>
                  <w:r w:rsidRPr="00A838AA">
                    <w:rPr>
                      <w:sz w:val="16"/>
                      <w:szCs w:val="16"/>
                    </w:rPr>
                    <w:t>Do 12 let externí dodavatel</w:t>
                  </w:r>
                </w:p>
              </w:tc>
              <w:tc>
                <w:tcPr>
                  <w:tcW w:w="2268" w:type="dxa"/>
                </w:tcPr>
                <w:p w14:paraId="39A5AD19" w14:textId="42ECBB92" w:rsidR="00A838AA" w:rsidRPr="00A838AA" w:rsidRDefault="00A838AA" w:rsidP="00A838AA">
                  <w:pPr>
                    <w:spacing w:line="259" w:lineRule="auto"/>
                    <w:jc w:val="both"/>
                    <w:rPr>
                      <w:sz w:val="16"/>
                      <w:szCs w:val="16"/>
                    </w:rPr>
                  </w:pPr>
                  <w:r w:rsidRPr="00A838AA">
                    <w:rPr>
                      <w:sz w:val="16"/>
                      <w:szCs w:val="16"/>
                    </w:rPr>
                    <w:t>115 Kč</w:t>
                  </w:r>
                </w:p>
              </w:tc>
              <w:tc>
                <w:tcPr>
                  <w:tcW w:w="1984" w:type="dxa"/>
                </w:tcPr>
                <w:p w14:paraId="23EE71D9" w14:textId="77777777" w:rsidR="00A838AA" w:rsidRPr="00A838AA" w:rsidRDefault="00A838AA" w:rsidP="00A838AA">
                  <w:pPr>
                    <w:spacing w:line="259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</w:tcPr>
                <w:p w14:paraId="0D925C8A" w14:textId="77777777" w:rsidR="00A838AA" w:rsidRPr="00A838AA" w:rsidRDefault="00A838AA" w:rsidP="00A838AA">
                  <w:pPr>
                    <w:spacing w:line="259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A838AA" w14:paraId="5897ACD7" w14:textId="77777777" w:rsidTr="000F56AF">
              <w:tc>
                <w:tcPr>
                  <w:tcW w:w="2802" w:type="dxa"/>
                </w:tcPr>
                <w:p w14:paraId="450D8502" w14:textId="77777777" w:rsidR="00A838AA" w:rsidRPr="00A838AA" w:rsidRDefault="00A838AA" w:rsidP="00A838AA">
                  <w:pPr>
                    <w:spacing w:line="259" w:lineRule="auto"/>
                    <w:jc w:val="both"/>
                    <w:rPr>
                      <w:sz w:val="16"/>
                      <w:szCs w:val="16"/>
                    </w:rPr>
                  </w:pPr>
                  <w:r w:rsidRPr="00A838AA">
                    <w:rPr>
                      <w:sz w:val="16"/>
                      <w:szCs w:val="16"/>
                    </w:rPr>
                    <w:t>Nad 12 let externí dodavatel</w:t>
                  </w:r>
                </w:p>
              </w:tc>
              <w:tc>
                <w:tcPr>
                  <w:tcW w:w="2268" w:type="dxa"/>
                </w:tcPr>
                <w:p w14:paraId="32B46D00" w14:textId="77725618" w:rsidR="00A838AA" w:rsidRPr="00A838AA" w:rsidRDefault="00A838AA" w:rsidP="00A838AA">
                  <w:pPr>
                    <w:spacing w:line="259" w:lineRule="auto"/>
                    <w:jc w:val="both"/>
                    <w:rPr>
                      <w:sz w:val="16"/>
                      <w:szCs w:val="16"/>
                    </w:rPr>
                  </w:pPr>
                  <w:r w:rsidRPr="00A838AA">
                    <w:rPr>
                      <w:sz w:val="16"/>
                      <w:szCs w:val="16"/>
                    </w:rPr>
                    <w:t>134 Kč</w:t>
                  </w:r>
                </w:p>
              </w:tc>
              <w:tc>
                <w:tcPr>
                  <w:tcW w:w="1984" w:type="dxa"/>
                </w:tcPr>
                <w:p w14:paraId="4EC67995" w14:textId="451EE27A" w:rsidR="00A838AA" w:rsidRPr="00A838AA" w:rsidRDefault="00A838AA" w:rsidP="00A838AA">
                  <w:pPr>
                    <w:spacing w:line="259" w:lineRule="auto"/>
                    <w:jc w:val="both"/>
                    <w:rPr>
                      <w:sz w:val="16"/>
                      <w:szCs w:val="16"/>
                    </w:rPr>
                  </w:pPr>
                  <w:r w:rsidRPr="00A838AA">
                    <w:rPr>
                      <w:sz w:val="16"/>
                      <w:szCs w:val="16"/>
                    </w:rPr>
                    <w:t>101 Kč</w:t>
                  </w:r>
                </w:p>
              </w:tc>
              <w:tc>
                <w:tcPr>
                  <w:tcW w:w="2234" w:type="dxa"/>
                </w:tcPr>
                <w:p w14:paraId="2F332824" w14:textId="460EB0FA" w:rsidR="00A838AA" w:rsidRPr="00A838AA" w:rsidRDefault="00A838AA" w:rsidP="00A838AA">
                  <w:pPr>
                    <w:spacing w:line="259" w:lineRule="auto"/>
                    <w:jc w:val="both"/>
                    <w:rPr>
                      <w:sz w:val="16"/>
                      <w:szCs w:val="16"/>
                    </w:rPr>
                  </w:pPr>
                  <w:r w:rsidRPr="00A838AA">
                    <w:rPr>
                      <w:sz w:val="16"/>
                      <w:szCs w:val="16"/>
                    </w:rPr>
                    <w:t>235 Kč</w:t>
                  </w:r>
                </w:p>
              </w:tc>
            </w:tr>
            <w:tr w:rsidR="00A838AA" w14:paraId="4BAABD1F" w14:textId="77777777" w:rsidTr="000F56AF">
              <w:tc>
                <w:tcPr>
                  <w:tcW w:w="2802" w:type="dxa"/>
                </w:tcPr>
                <w:p w14:paraId="4DCEA40C" w14:textId="77777777" w:rsidR="00A838AA" w:rsidRPr="00A838AA" w:rsidRDefault="00A838AA" w:rsidP="00A838AA">
                  <w:pPr>
                    <w:spacing w:line="259" w:lineRule="auto"/>
                    <w:jc w:val="both"/>
                    <w:rPr>
                      <w:sz w:val="16"/>
                      <w:szCs w:val="16"/>
                    </w:rPr>
                  </w:pPr>
                  <w:r w:rsidRPr="00A838AA">
                    <w:rPr>
                      <w:sz w:val="16"/>
                      <w:szCs w:val="16"/>
                    </w:rPr>
                    <w:t>Od 18 let kuchyň SOKOLÍK</w:t>
                  </w:r>
                </w:p>
              </w:tc>
              <w:tc>
                <w:tcPr>
                  <w:tcW w:w="2268" w:type="dxa"/>
                </w:tcPr>
                <w:p w14:paraId="0B784870" w14:textId="1F384D42" w:rsidR="00A838AA" w:rsidRPr="00A838AA" w:rsidRDefault="00A838AA" w:rsidP="00A838AA">
                  <w:pPr>
                    <w:spacing w:line="259" w:lineRule="auto"/>
                    <w:jc w:val="both"/>
                    <w:rPr>
                      <w:sz w:val="16"/>
                      <w:szCs w:val="16"/>
                    </w:rPr>
                  </w:pPr>
                  <w:r w:rsidRPr="00A838AA">
                    <w:rPr>
                      <w:sz w:val="16"/>
                      <w:szCs w:val="16"/>
                    </w:rPr>
                    <w:t>98 Kč</w:t>
                  </w:r>
                </w:p>
              </w:tc>
              <w:tc>
                <w:tcPr>
                  <w:tcW w:w="1984" w:type="dxa"/>
                </w:tcPr>
                <w:p w14:paraId="207FAFA1" w14:textId="72912B7C" w:rsidR="00A838AA" w:rsidRPr="00A838AA" w:rsidRDefault="00A838AA" w:rsidP="00A838AA">
                  <w:pPr>
                    <w:spacing w:line="259" w:lineRule="auto"/>
                    <w:jc w:val="both"/>
                    <w:rPr>
                      <w:sz w:val="16"/>
                      <w:szCs w:val="16"/>
                    </w:rPr>
                  </w:pPr>
                  <w:r w:rsidRPr="00A838AA">
                    <w:rPr>
                      <w:sz w:val="16"/>
                      <w:szCs w:val="16"/>
                    </w:rPr>
                    <w:t>137 Kč</w:t>
                  </w:r>
                </w:p>
              </w:tc>
              <w:tc>
                <w:tcPr>
                  <w:tcW w:w="2234" w:type="dxa"/>
                </w:tcPr>
                <w:p w14:paraId="5D817D24" w14:textId="5B47AE58" w:rsidR="00A838AA" w:rsidRPr="00A838AA" w:rsidRDefault="00A838AA" w:rsidP="00A838AA">
                  <w:pPr>
                    <w:spacing w:line="259" w:lineRule="auto"/>
                    <w:jc w:val="both"/>
                    <w:rPr>
                      <w:sz w:val="16"/>
                      <w:szCs w:val="16"/>
                    </w:rPr>
                  </w:pPr>
                  <w:r w:rsidRPr="00A838AA">
                    <w:rPr>
                      <w:sz w:val="16"/>
                      <w:szCs w:val="16"/>
                    </w:rPr>
                    <w:t>235 Kč</w:t>
                  </w:r>
                </w:p>
              </w:tc>
            </w:tr>
          </w:tbl>
          <w:p w14:paraId="5869B643" w14:textId="33BFC493" w:rsidR="00A838AA" w:rsidRDefault="00A838AA" w:rsidP="009466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814"/>
              <w:gridCol w:w="1574"/>
              <w:gridCol w:w="1349"/>
              <w:gridCol w:w="1447"/>
            </w:tblGrid>
            <w:tr w:rsidR="00A838AA" w:rsidRPr="000D0B42" w14:paraId="69519FF6" w14:textId="77777777" w:rsidTr="000F56AF">
              <w:tc>
                <w:tcPr>
                  <w:tcW w:w="2802" w:type="dxa"/>
                </w:tcPr>
                <w:p w14:paraId="48F3C9E8" w14:textId="77777777" w:rsidR="00A838AA" w:rsidRPr="00A838AA" w:rsidRDefault="00A838AA" w:rsidP="00A838AA">
                  <w:pPr>
                    <w:spacing w:line="259" w:lineRule="auto"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A838AA">
                    <w:rPr>
                      <w:b/>
                      <w:bCs/>
                      <w:sz w:val="16"/>
                      <w:szCs w:val="16"/>
                    </w:rPr>
                    <w:t>Klient</w:t>
                  </w:r>
                </w:p>
              </w:tc>
              <w:tc>
                <w:tcPr>
                  <w:tcW w:w="2268" w:type="dxa"/>
                </w:tcPr>
                <w:p w14:paraId="4B95A1EC" w14:textId="77777777" w:rsidR="00A838AA" w:rsidRPr="00A838AA" w:rsidRDefault="00A838AA" w:rsidP="00A838AA">
                  <w:pPr>
                    <w:spacing w:line="259" w:lineRule="auto"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A838AA">
                    <w:rPr>
                      <w:b/>
                      <w:bCs/>
                      <w:sz w:val="16"/>
                      <w:szCs w:val="16"/>
                    </w:rPr>
                    <w:t>Stravovací jednotka</w:t>
                  </w:r>
                </w:p>
              </w:tc>
              <w:tc>
                <w:tcPr>
                  <w:tcW w:w="1984" w:type="dxa"/>
                </w:tcPr>
                <w:p w14:paraId="4671B001" w14:textId="77777777" w:rsidR="00A838AA" w:rsidRPr="00A838AA" w:rsidRDefault="00A838AA" w:rsidP="00A838AA">
                  <w:pPr>
                    <w:spacing w:line="259" w:lineRule="auto"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A838AA">
                    <w:rPr>
                      <w:b/>
                      <w:bCs/>
                      <w:sz w:val="16"/>
                      <w:szCs w:val="16"/>
                    </w:rPr>
                    <w:t>Režijní náklady</w:t>
                  </w:r>
                </w:p>
              </w:tc>
              <w:tc>
                <w:tcPr>
                  <w:tcW w:w="2234" w:type="dxa"/>
                </w:tcPr>
                <w:p w14:paraId="1279E4F7" w14:textId="77777777" w:rsidR="00A838AA" w:rsidRPr="00A838AA" w:rsidRDefault="00A838AA" w:rsidP="00A838AA">
                  <w:pPr>
                    <w:spacing w:line="259" w:lineRule="auto"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A838AA">
                    <w:rPr>
                      <w:b/>
                      <w:bCs/>
                      <w:sz w:val="16"/>
                      <w:szCs w:val="16"/>
                    </w:rPr>
                    <w:t>Denní úhrada klienta</w:t>
                  </w:r>
                </w:p>
              </w:tc>
            </w:tr>
            <w:tr w:rsidR="00A838AA" w14:paraId="0650D9D0" w14:textId="77777777" w:rsidTr="000F56AF">
              <w:tc>
                <w:tcPr>
                  <w:tcW w:w="2802" w:type="dxa"/>
                </w:tcPr>
                <w:p w14:paraId="7B727E19" w14:textId="77777777" w:rsidR="00A838AA" w:rsidRPr="00A838AA" w:rsidRDefault="00A838AA" w:rsidP="00A838AA">
                  <w:pPr>
                    <w:spacing w:line="259" w:lineRule="auto"/>
                    <w:jc w:val="both"/>
                    <w:rPr>
                      <w:sz w:val="16"/>
                      <w:szCs w:val="16"/>
                    </w:rPr>
                  </w:pPr>
                  <w:r w:rsidRPr="00A838AA">
                    <w:rPr>
                      <w:sz w:val="16"/>
                      <w:szCs w:val="16"/>
                    </w:rPr>
                    <w:t>Do 12 let externí dodavatel</w:t>
                  </w:r>
                </w:p>
              </w:tc>
              <w:tc>
                <w:tcPr>
                  <w:tcW w:w="2268" w:type="dxa"/>
                </w:tcPr>
                <w:p w14:paraId="725C8E33" w14:textId="77777777" w:rsidR="00A838AA" w:rsidRPr="00A838AA" w:rsidRDefault="00A838AA" w:rsidP="00A838AA">
                  <w:pPr>
                    <w:spacing w:line="259" w:lineRule="auto"/>
                    <w:jc w:val="both"/>
                    <w:rPr>
                      <w:sz w:val="16"/>
                      <w:szCs w:val="16"/>
                    </w:rPr>
                  </w:pPr>
                  <w:r w:rsidRPr="00A838AA">
                    <w:rPr>
                      <w:sz w:val="16"/>
                      <w:szCs w:val="16"/>
                    </w:rPr>
                    <w:t>120 Kč</w:t>
                  </w:r>
                </w:p>
              </w:tc>
              <w:tc>
                <w:tcPr>
                  <w:tcW w:w="1984" w:type="dxa"/>
                </w:tcPr>
                <w:p w14:paraId="63C823F3" w14:textId="77777777" w:rsidR="00A838AA" w:rsidRPr="00A838AA" w:rsidRDefault="00A838AA" w:rsidP="00A838AA">
                  <w:pPr>
                    <w:spacing w:line="259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</w:tcPr>
                <w:p w14:paraId="10181100" w14:textId="77777777" w:rsidR="00A838AA" w:rsidRPr="00A838AA" w:rsidRDefault="00A838AA" w:rsidP="00A838AA">
                  <w:pPr>
                    <w:spacing w:line="259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A838AA" w14:paraId="7C741B46" w14:textId="77777777" w:rsidTr="000F56AF">
              <w:tc>
                <w:tcPr>
                  <w:tcW w:w="2802" w:type="dxa"/>
                </w:tcPr>
                <w:p w14:paraId="66C0A580" w14:textId="77777777" w:rsidR="00A838AA" w:rsidRPr="00A838AA" w:rsidRDefault="00A838AA" w:rsidP="00A838AA">
                  <w:pPr>
                    <w:spacing w:line="259" w:lineRule="auto"/>
                    <w:jc w:val="both"/>
                    <w:rPr>
                      <w:sz w:val="16"/>
                      <w:szCs w:val="16"/>
                    </w:rPr>
                  </w:pPr>
                  <w:r w:rsidRPr="00A838AA">
                    <w:rPr>
                      <w:sz w:val="16"/>
                      <w:szCs w:val="16"/>
                    </w:rPr>
                    <w:t>Nad 12 let externí dodavatel</w:t>
                  </w:r>
                </w:p>
              </w:tc>
              <w:tc>
                <w:tcPr>
                  <w:tcW w:w="2268" w:type="dxa"/>
                </w:tcPr>
                <w:p w14:paraId="079A0E66" w14:textId="77777777" w:rsidR="00A838AA" w:rsidRPr="00A838AA" w:rsidRDefault="00A838AA" w:rsidP="00A838AA">
                  <w:pPr>
                    <w:spacing w:line="259" w:lineRule="auto"/>
                    <w:jc w:val="both"/>
                    <w:rPr>
                      <w:sz w:val="16"/>
                      <w:szCs w:val="16"/>
                    </w:rPr>
                  </w:pPr>
                  <w:r w:rsidRPr="00A838AA">
                    <w:rPr>
                      <w:sz w:val="16"/>
                      <w:szCs w:val="16"/>
                    </w:rPr>
                    <w:t>139 Kč</w:t>
                  </w:r>
                </w:p>
              </w:tc>
              <w:tc>
                <w:tcPr>
                  <w:tcW w:w="1984" w:type="dxa"/>
                </w:tcPr>
                <w:p w14:paraId="3C270BF0" w14:textId="77777777" w:rsidR="00A838AA" w:rsidRPr="00A838AA" w:rsidRDefault="00A838AA" w:rsidP="00A838AA">
                  <w:pPr>
                    <w:spacing w:line="259" w:lineRule="auto"/>
                    <w:jc w:val="both"/>
                    <w:rPr>
                      <w:sz w:val="16"/>
                      <w:szCs w:val="16"/>
                    </w:rPr>
                  </w:pPr>
                  <w:r w:rsidRPr="00A838AA">
                    <w:rPr>
                      <w:sz w:val="16"/>
                      <w:szCs w:val="16"/>
                    </w:rPr>
                    <w:t>116 Kč</w:t>
                  </w:r>
                </w:p>
              </w:tc>
              <w:tc>
                <w:tcPr>
                  <w:tcW w:w="2234" w:type="dxa"/>
                </w:tcPr>
                <w:p w14:paraId="4101C876" w14:textId="77777777" w:rsidR="00A838AA" w:rsidRPr="00A838AA" w:rsidRDefault="00A838AA" w:rsidP="00A838AA">
                  <w:pPr>
                    <w:spacing w:line="259" w:lineRule="auto"/>
                    <w:jc w:val="both"/>
                    <w:rPr>
                      <w:sz w:val="16"/>
                      <w:szCs w:val="16"/>
                    </w:rPr>
                  </w:pPr>
                  <w:r w:rsidRPr="00A838AA">
                    <w:rPr>
                      <w:sz w:val="16"/>
                      <w:szCs w:val="16"/>
                    </w:rPr>
                    <w:t>255 Kč</w:t>
                  </w:r>
                </w:p>
              </w:tc>
            </w:tr>
            <w:tr w:rsidR="00A838AA" w14:paraId="16795056" w14:textId="77777777" w:rsidTr="000F56AF">
              <w:tc>
                <w:tcPr>
                  <w:tcW w:w="2802" w:type="dxa"/>
                </w:tcPr>
                <w:p w14:paraId="0D47466B" w14:textId="77777777" w:rsidR="00A838AA" w:rsidRPr="00A838AA" w:rsidRDefault="00A838AA" w:rsidP="00A838AA">
                  <w:pPr>
                    <w:spacing w:line="259" w:lineRule="auto"/>
                    <w:jc w:val="both"/>
                    <w:rPr>
                      <w:sz w:val="16"/>
                      <w:szCs w:val="16"/>
                    </w:rPr>
                  </w:pPr>
                  <w:r w:rsidRPr="00A838AA">
                    <w:rPr>
                      <w:sz w:val="16"/>
                      <w:szCs w:val="16"/>
                    </w:rPr>
                    <w:t>Od 18 let kuchyň SOKOLÍK</w:t>
                  </w:r>
                </w:p>
              </w:tc>
              <w:tc>
                <w:tcPr>
                  <w:tcW w:w="2268" w:type="dxa"/>
                </w:tcPr>
                <w:p w14:paraId="02651F43" w14:textId="77777777" w:rsidR="00A838AA" w:rsidRPr="00A838AA" w:rsidRDefault="00A838AA" w:rsidP="00A838AA">
                  <w:pPr>
                    <w:spacing w:line="259" w:lineRule="auto"/>
                    <w:jc w:val="both"/>
                    <w:rPr>
                      <w:sz w:val="16"/>
                      <w:szCs w:val="16"/>
                    </w:rPr>
                  </w:pPr>
                  <w:r w:rsidRPr="00A838AA">
                    <w:rPr>
                      <w:sz w:val="16"/>
                      <w:szCs w:val="16"/>
                    </w:rPr>
                    <w:t>110 Kč</w:t>
                  </w:r>
                </w:p>
              </w:tc>
              <w:tc>
                <w:tcPr>
                  <w:tcW w:w="1984" w:type="dxa"/>
                </w:tcPr>
                <w:p w14:paraId="7C6CFD24" w14:textId="77777777" w:rsidR="00A838AA" w:rsidRPr="00A838AA" w:rsidRDefault="00A838AA" w:rsidP="00A838AA">
                  <w:pPr>
                    <w:spacing w:line="259" w:lineRule="auto"/>
                    <w:jc w:val="both"/>
                    <w:rPr>
                      <w:sz w:val="16"/>
                      <w:szCs w:val="16"/>
                    </w:rPr>
                  </w:pPr>
                  <w:r w:rsidRPr="00A838AA">
                    <w:rPr>
                      <w:sz w:val="16"/>
                      <w:szCs w:val="16"/>
                    </w:rPr>
                    <w:t>145 Kč</w:t>
                  </w:r>
                </w:p>
              </w:tc>
              <w:tc>
                <w:tcPr>
                  <w:tcW w:w="2234" w:type="dxa"/>
                </w:tcPr>
                <w:p w14:paraId="7C3849EF" w14:textId="77777777" w:rsidR="00A838AA" w:rsidRPr="00A838AA" w:rsidRDefault="00A838AA" w:rsidP="00A838AA">
                  <w:pPr>
                    <w:spacing w:line="259" w:lineRule="auto"/>
                    <w:jc w:val="both"/>
                    <w:rPr>
                      <w:sz w:val="16"/>
                      <w:szCs w:val="16"/>
                    </w:rPr>
                  </w:pPr>
                  <w:r w:rsidRPr="00A838AA">
                    <w:rPr>
                      <w:sz w:val="16"/>
                      <w:szCs w:val="16"/>
                    </w:rPr>
                    <w:t>255 Kč</w:t>
                  </w:r>
                </w:p>
              </w:tc>
            </w:tr>
          </w:tbl>
          <w:p w14:paraId="708E4246" w14:textId="2928EB0F" w:rsidR="00A838AA" w:rsidRPr="00852A54" w:rsidRDefault="00A838AA" w:rsidP="0094662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63288" w:rsidRPr="00852A54" w14:paraId="22F89A66" w14:textId="77777777" w:rsidTr="007B366D">
        <w:tc>
          <w:tcPr>
            <w:tcW w:w="1384" w:type="dxa"/>
          </w:tcPr>
          <w:p w14:paraId="112C1042" w14:textId="70613A87" w:rsidR="00463288" w:rsidRPr="00852A54" w:rsidRDefault="00A838AA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8.1.2024</w:t>
            </w:r>
          </w:p>
          <w:p w14:paraId="62786AF9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ACB8BC" w14:textId="2DCB1F33" w:rsidR="00463288" w:rsidRPr="00852A54" w:rsidRDefault="00A838AA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Příloha č.1/5</w:t>
            </w:r>
          </w:p>
        </w:tc>
        <w:tc>
          <w:tcPr>
            <w:tcW w:w="6410" w:type="dxa"/>
          </w:tcPr>
          <w:p w14:paraId="74969D2D" w14:textId="5733AFE7" w:rsidR="00463288" w:rsidRDefault="00A838AA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Vyjmuto jako fakultativní služba: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078"/>
              <w:gridCol w:w="3106"/>
            </w:tblGrid>
            <w:tr w:rsidR="00A838AA" w:rsidRPr="000D0B42" w14:paraId="487A5CAE" w14:textId="77777777" w:rsidTr="000F56AF">
              <w:tc>
                <w:tcPr>
                  <w:tcW w:w="4606" w:type="dxa"/>
                </w:tcPr>
                <w:p w14:paraId="6978C59B" w14:textId="77777777" w:rsidR="00A838AA" w:rsidRPr="00A838AA" w:rsidRDefault="00A838AA" w:rsidP="00A838AA">
                  <w:pPr>
                    <w:spacing w:line="259" w:lineRule="auto"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A838AA">
                    <w:rPr>
                      <w:b/>
                      <w:bCs/>
                      <w:sz w:val="16"/>
                      <w:szCs w:val="16"/>
                    </w:rPr>
                    <w:t>Druh služby</w:t>
                  </w:r>
                </w:p>
              </w:tc>
              <w:tc>
                <w:tcPr>
                  <w:tcW w:w="4606" w:type="dxa"/>
                </w:tcPr>
                <w:p w14:paraId="5941B2EF" w14:textId="77777777" w:rsidR="00A838AA" w:rsidRPr="00A838AA" w:rsidRDefault="00A838AA" w:rsidP="00A838AA">
                  <w:pPr>
                    <w:spacing w:line="259" w:lineRule="auto"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A838AA">
                    <w:rPr>
                      <w:b/>
                      <w:bCs/>
                      <w:sz w:val="16"/>
                      <w:szCs w:val="16"/>
                    </w:rPr>
                    <w:t>Sazba</w:t>
                  </w:r>
                </w:p>
              </w:tc>
            </w:tr>
            <w:tr w:rsidR="00A838AA" w14:paraId="73B9389D" w14:textId="77777777" w:rsidTr="000F56AF">
              <w:tc>
                <w:tcPr>
                  <w:tcW w:w="4606" w:type="dxa"/>
                </w:tcPr>
                <w:p w14:paraId="19426198" w14:textId="26F4D66B" w:rsidR="00A838AA" w:rsidRPr="00A838AA" w:rsidRDefault="00A838AA" w:rsidP="00A838AA">
                  <w:pPr>
                    <w:spacing w:line="259" w:lineRule="auto"/>
                    <w:jc w:val="both"/>
                    <w:rPr>
                      <w:sz w:val="16"/>
                      <w:szCs w:val="16"/>
                    </w:rPr>
                  </w:pPr>
                  <w:r w:rsidRPr="00A838AA">
                    <w:rPr>
                      <w:sz w:val="16"/>
                      <w:szCs w:val="16"/>
                    </w:rPr>
                    <w:t>Perličková koupel pro Domov SOKOLÍK</w:t>
                  </w:r>
                </w:p>
              </w:tc>
              <w:tc>
                <w:tcPr>
                  <w:tcW w:w="4606" w:type="dxa"/>
                </w:tcPr>
                <w:p w14:paraId="22A6CAA7" w14:textId="121AA9E3" w:rsidR="00A838AA" w:rsidRPr="00A838AA" w:rsidRDefault="00A838AA" w:rsidP="00A838AA">
                  <w:pPr>
                    <w:spacing w:line="259" w:lineRule="auto"/>
                    <w:jc w:val="both"/>
                    <w:rPr>
                      <w:sz w:val="16"/>
                      <w:szCs w:val="16"/>
                    </w:rPr>
                  </w:pPr>
                  <w:r w:rsidRPr="00A838AA">
                    <w:rPr>
                      <w:sz w:val="16"/>
                      <w:szCs w:val="16"/>
                    </w:rPr>
                    <w:t>14 Kč/20 minut</w:t>
                  </w:r>
                </w:p>
              </w:tc>
            </w:tr>
            <w:tr w:rsidR="00A838AA" w14:paraId="0A937D1E" w14:textId="77777777" w:rsidTr="000F56AF">
              <w:tc>
                <w:tcPr>
                  <w:tcW w:w="4606" w:type="dxa"/>
                </w:tcPr>
                <w:p w14:paraId="23BDD7F9" w14:textId="17CFD459" w:rsidR="00A838AA" w:rsidRPr="00A838AA" w:rsidRDefault="00A838AA" w:rsidP="00A838AA">
                  <w:pPr>
                    <w:spacing w:line="259" w:lineRule="auto"/>
                    <w:jc w:val="both"/>
                    <w:rPr>
                      <w:sz w:val="16"/>
                      <w:szCs w:val="16"/>
                    </w:rPr>
                  </w:pPr>
                  <w:r w:rsidRPr="00A838AA">
                    <w:rPr>
                      <w:sz w:val="16"/>
                      <w:szCs w:val="16"/>
                    </w:rPr>
                    <w:t>Kapesné pro osobní potřebu klienta na plnění osobních přání a tužeb – pouze DOZP VILÍK</w:t>
                  </w:r>
                </w:p>
              </w:tc>
              <w:tc>
                <w:tcPr>
                  <w:tcW w:w="4606" w:type="dxa"/>
                </w:tcPr>
                <w:p w14:paraId="45132587" w14:textId="6A1AD4FA" w:rsidR="00A838AA" w:rsidRPr="00A838AA" w:rsidRDefault="00A838AA" w:rsidP="00A838AA">
                  <w:pPr>
                    <w:spacing w:line="259" w:lineRule="auto"/>
                    <w:jc w:val="both"/>
                    <w:rPr>
                      <w:sz w:val="16"/>
                      <w:szCs w:val="16"/>
                    </w:rPr>
                  </w:pPr>
                  <w:r w:rsidRPr="00A838AA">
                    <w:rPr>
                      <w:sz w:val="16"/>
                      <w:szCs w:val="16"/>
                    </w:rPr>
                    <w:t>500 Kč – 1000 Kč (kalendářní měsíc) dle uzavřené smlouvy</w:t>
                  </w:r>
                </w:p>
              </w:tc>
            </w:tr>
          </w:tbl>
          <w:p w14:paraId="3D37DBD0" w14:textId="1FC7F869" w:rsidR="00A838AA" w:rsidRPr="00852A54" w:rsidRDefault="00A838AA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3288" w:rsidRPr="00852A54" w14:paraId="6F6FFBE0" w14:textId="77777777" w:rsidTr="007B366D">
        <w:tc>
          <w:tcPr>
            <w:tcW w:w="1384" w:type="dxa"/>
          </w:tcPr>
          <w:p w14:paraId="198E844F" w14:textId="18B9D7FD" w:rsidR="00463288" w:rsidRDefault="00A838AA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8.1.2024</w:t>
            </w:r>
          </w:p>
          <w:p w14:paraId="026B3401" w14:textId="3DB9BCD8" w:rsidR="00C24994" w:rsidRPr="00852A54" w:rsidRDefault="00C24994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B6A9D5" w14:textId="2B77A8FA" w:rsidR="00463288" w:rsidRPr="00852A54" w:rsidRDefault="00A838AA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Příloha č.1/5</w:t>
            </w:r>
          </w:p>
        </w:tc>
        <w:tc>
          <w:tcPr>
            <w:tcW w:w="6410" w:type="dxa"/>
          </w:tcPr>
          <w:p w14:paraId="2AB6F518" w14:textId="77777777" w:rsidR="00463288" w:rsidRDefault="00A838AA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Změna v sazbě fakultativní služby Z: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188"/>
              <w:gridCol w:w="2996"/>
            </w:tblGrid>
            <w:tr w:rsidR="00A838AA" w:rsidRPr="00A838AA" w14:paraId="6A611D07" w14:textId="77777777" w:rsidTr="000F56AF">
              <w:tc>
                <w:tcPr>
                  <w:tcW w:w="4606" w:type="dxa"/>
                </w:tcPr>
                <w:p w14:paraId="0342C65A" w14:textId="77777777" w:rsidR="00A838AA" w:rsidRPr="00A838AA" w:rsidRDefault="00A838AA" w:rsidP="00A838AA">
                  <w:pPr>
                    <w:spacing w:line="259" w:lineRule="auto"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A838AA">
                    <w:rPr>
                      <w:b/>
                      <w:bCs/>
                      <w:sz w:val="16"/>
                      <w:szCs w:val="16"/>
                    </w:rPr>
                    <w:t>Druh služby</w:t>
                  </w:r>
                </w:p>
              </w:tc>
              <w:tc>
                <w:tcPr>
                  <w:tcW w:w="4606" w:type="dxa"/>
                </w:tcPr>
                <w:p w14:paraId="33C01136" w14:textId="77777777" w:rsidR="00A838AA" w:rsidRPr="00A838AA" w:rsidRDefault="00A838AA" w:rsidP="00A838AA">
                  <w:pPr>
                    <w:spacing w:line="259" w:lineRule="auto"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A838AA">
                    <w:rPr>
                      <w:b/>
                      <w:bCs/>
                      <w:sz w:val="16"/>
                      <w:szCs w:val="16"/>
                    </w:rPr>
                    <w:t>Sazba</w:t>
                  </w:r>
                </w:p>
              </w:tc>
            </w:tr>
            <w:tr w:rsidR="00A838AA" w:rsidRPr="00A838AA" w14:paraId="24C14F2B" w14:textId="77777777" w:rsidTr="000F56AF">
              <w:tc>
                <w:tcPr>
                  <w:tcW w:w="4606" w:type="dxa"/>
                </w:tcPr>
                <w:p w14:paraId="2AA374A1" w14:textId="77777777" w:rsidR="00A838AA" w:rsidRPr="00A838AA" w:rsidRDefault="00A838AA" w:rsidP="00A838AA">
                  <w:pPr>
                    <w:spacing w:line="259" w:lineRule="auto"/>
                    <w:jc w:val="both"/>
                    <w:rPr>
                      <w:sz w:val="16"/>
                      <w:szCs w:val="16"/>
                    </w:rPr>
                  </w:pPr>
                  <w:r w:rsidRPr="00A838AA">
                    <w:rPr>
                      <w:sz w:val="16"/>
                      <w:szCs w:val="16"/>
                    </w:rPr>
                    <w:t>Doprava klienta a jeho věcí do nebo z místa, které označí, osobním automobilem do 3,5 tuny</w:t>
                  </w:r>
                </w:p>
              </w:tc>
              <w:tc>
                <w:tcPr>
                  <w:tcW w:w="4606" w:type="dxa"/>
                </w:tcPr>
                <w:p w14:paraId="5BBE0B38" w14:textId="34265491" w:rsidR="00A838AA" w:rsidRPr="00A838AA" w:rsidRDefault="000D6E46" w:rsidP="00A838AA">
                  <w:pPr>
                    <w:spacing w:line="259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  <w:r w:rsidR="00A838AA" w:rsidRPr="00A838AA">
                    <w:rPr>
                      <w:sz w:val="16"/>
                      <w:szCs w:val="16"/>
                    </w:rPr>
                    <w:t xml:space="preserve"> Kč na osobu a km</w:t>
                  </w:r>
                </w:p>
              </w:tc>
            </w:tr>
          </w:tbl>
          <w:p w14:paraId="3200D710" w14:textId="77777777" w:rsidR="00A838AA" w:rsidRPr="00A838AA" w:rsidRDefault="00A838AA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 w:rsidRPr="00A838AA">
              <w:rPr>
                <w:rFonts w:cstheme="minorHAnsi"/>
                <w:sz w:val="20"/>
                <w:szCs w:val="20"/>
              </w:rPr>
              <w:t>Na: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188"/>
              <w:gridCol w:w="2996"/>
            </w:tblGrid>
            <w:tr w:rsidR="00A838AA" w:rsidRPr="00A838AA" w14:paraId="64A05676" w14:textId="77777777" w:rsidTr="000F56AF">
              <w:tc>
                <w:tcPr>
                  <w:tcW w:w="4606" w:type="dxa"/>
                </w:tcPr>
                <w:p w14:paraId="654756E7" w14:textId="77777777" w:rsidR="00A838AA" w:rsidRPr="00A838AA" w:rsidRDefault="00A838AA" w:rsidP="00A838AA">
                  <w:pPr>
                    <w:spacing w:line="259" w:lineRule="auto"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A838AA">
                    <w:rPr>
                      <w:b/>
                      <w:bCs/>
                      <w:sz w:val="16"/>
                      <w:szCs w:val="16"/>
                    </w:rPr>
                    <w:t>Druh služby</w:t>
                  </w:r>
                </w:p>
              </w:tc>
              <w:tc>
                <w:tcPr>
                  <w:tcW w:w="4606" w:type="dxa"/>
                </w:tcPr>
                <w:p w14:paraId="7CDDD0CD" w14:textId="77777777" w:rsidR="00A838AA" w:rsidRPr="00A838AA" w:rsidRDefault="00A838AA" w:rsidP="00A838AA">
                  <w:pPr>
                    <w:spacing w:line="259" w:lineRule="auto"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A838AA">
                    <w:rPr>
                      <w:b/>
                      <w:bCs/>
                      <w:sz w:val="16"/>
                      <w:szCs w:val="16"/>
                    </w:rPr>
                    <w:t>Sazba</w:t>
                  </w:r>
                </w:p>
              </w:tc>
            </w:tr>
            <w:tr w:rsidR="00A838AA" w:rsidRPr="00A838AA" w14:paraId="55CCDE54" w14:textId="77777777" w:rsidTr="000F56AF">
              <w:tc>
                <w:tcPr>
                  <w:tcW w:w="4606" w:type="dxa"/>
                </w:tcPr>
                <w:p w14:paraId="7621CECC" w14:textId="77777777" w:rsidR="00A838AA" w:rsidRPr="00A838AA" w:rsidRDefault="00A838AA" w:rsidP="00A838AA">
                  <w:pPr>
                    <w:spacing w:line="259" w:lineRule="auto"/>
                    <w:jc w:val="both"/>
                    <w:rPr>
                      <w:sz w:val="16"/>
                      <w:szCs w:val="16"/>
                    </w:rPr>
                  </w:pPr>
                  <w:r w:rsidRPr="00A838AA">
                    <w:rPr>
                      <w:sz w:val="16"/>
                      <w:szCs w:val="16"/>
                    </w:rPr>
                    <w:t>Doprava klienta a jeho věcí do nebo z místa, které označí, osobním automobilem do 3,5 tuny</w:t>
                  </w:r>
                </w:p>
              </w:tc>
              <w:tc>
                <w:tcPr>
                  <w:tcW w:w="4606" w:type="dxa"/>
                </w:tcPr>
                <w:p w14:paraId="0A075176" w14:textId="77777777" w:rsidR="00A838AA" w:rsidRPr="00A838AA" w:rsidRDefault="00A838AA" w:rsidP="00A838AA">
                  <w:pPr>
                    <w:spacing w:line="259" w:lineRule="auto"/>
                    <w:jc w:val="both"/>
                    <w:rPr>
                      <w:sz w:val="16"/>
                      <w:szCs w:val="16"/>
                    </w:rPr>
                  </w:pPr>
                  <w:r w:rsidRPr="00A838AA">
                    <w:rPr>
                      <w:sz w:val="16"/>
                      <w:szCs w:val="16"/>
                    </w:rPr>
                    <w:t>7 Kč na osobu a km</w:t>
                  </w:r>
                </w:p>
              </w:tc>
            </w:tr>
          </w:tbl>
          <w:p w14:paraId="2B9E3550" w14:textId="3F08562F" w:rsidR="00A838AA" w:rsidRPr="00852A54" w:rsidRDefault="00A838AA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504050F" w14:textId="77777777" w:rsidR="00463288" w:rsidRPr="004A37A0" w:rsidRDefault="00463288" w:rsidP="004A37A0"/>
    <w:sectPr w:rsidR="00463288" w:rsidRPr="004A37A0" w:rsidSect="00F62F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C9AE9" w14:textId="77777777" w:rsidR="00F62FB8" w:rsidRDefault="00F62FB8" w:rsidP="0051323D">
      <w:pPr>
        <w:spacing w:after="0" w:line="240" w:lineRule="auto"/>
      </w:pPr>
      <w:r>
        <w:separator/>
      </w:r>
    </w:p>
  </w:endnote>
  <w:endnote w:type="continuationSeparator" w:id="0">
    <w:p w14:paraId="6E6B9A80" w14:textId="77777777" w:rsidR="00F62FB8" w:rsidRDefault="00F62FB8" w:rsidP="0051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34B53" w14:textId="53D0D1DD" w:rsidR="00C11846" w:rsidRPr="000944D0" w:rsidRDefault="00C11846" w:rsidP="00C11846">
    <w:pPr>
      <w:pStyle w:val="Zpat"/>
      <w:rPr>
        <w:i/>
        <w:sz w:val="20"/>
        <w:szCs w:val="20"/>
      </w:rPr>
    </w:pPr>
    <w:r w:rsidRPr="000944D0">
      <w:rPr>
        <w:i/>
        <w:sz w:val="20"/>
        <w:szCs w:val="20"/>
      </w:rPr>
      <w:t xml:space="preserve">Autor: Mgr. Petra </w:t>
    </w:r>
    <w:r w:rsidR="00852A54">
      <w:rPr>
        <w:i/>
        <w:sz w:val="20"/>
        <w:szCs w:val="20"/>
      </w:rPr>
      <w:t>Sekáčová</w:t>
    </w:r>
    <w:r w:rsidRPr="000944D0">
      <w:rPr>
        <w:i/>
        <w:sz w:val="20"/>
        <w:szCs w:val="20"/>
      </w:rPr>
      <w:t xml:space="preserve">, garant dokumentu: Mgr. Petra </w:t>
    </w:r>
    <w:r w:rsidR="00852A54">
      <w:rPr>
        <w:i/>
        <w:sz w:val="20"/>
        <w:szCs w:val="20"/>
      </w:rPr>
      <w:t>Sekáčová</w:t>
    </w:r>
    <w:r w:rsidRPr="000944D0">
      <w:rPr>
        <w:i/>
        <w:sz w:val="20"/>
        <w:szCs w:val="20"/>
      </w:rPr>
      <w:t xml:space="preserve">, datum poslední revize </w:t>
    </w:r>
    <w:r w:rsidR="00333C97">
      <w:rPr>
        <w:i/>
        <w:sz w:val="20"/>
        <w:szCs w:val="20"/>
      </w:rPr>
      <w:t>8</w:t>
    </w:r>
    <w:r w:rsidRPr="000944D0">
      <w:rPr>
        <w:i/>
        <w:sz w:val="20"/>
        <w:szCs w:val="20"/>
      </w:rPr>
      <w:t>.</w:t>
    </w:r>
    <w:r w:rsidR="00F20CAF">
      <w:rPr>
        <w:i/>
        <w:sz w:val="20"/>
        <w:szCs w:val="20"/>
      </w:rPr>
      <w:t xml:space="preserve"> </w:t>
    </w:r>
    <w:r w:rsidR="00333C97">
      <w:rPr>
        <w:i/>
        <w:sz w:val="20"/>
        <w:szCs w:val="20"/>
      </w:rPr>
      <w:t>1</w:t>
    </w:r>
    <w:r w:rsidR="00F20CAF">
      <w:rPr>
        <w:i/>
        <w:sz w:val="20"/>
        <w:szCs w:val="20"/>
      </w:rPr>
      <w:t>. 20</w:t>
    </w:r>
    <w:r w:rsidR="004F5634">
      <w:rPr>
        <w:i/>
        <w:sz w:val="20"/>
        <w:szCs w:val="20"/>
      </w:rPr>
      <w:t>2</w:t>
    </w:r>
    <w:r w:rsidR="00333C97">
      <w:rPr>
        <w:i/>
        <w:sz w:val="20"/>
        <w:szCs w:val="20"/>
      </w:rPr>
      <w:t>4</w:t>
    </w:r>
  </w:p>
  <w:p w14:paraId="3F7D91AF" w14:textId="77777777" w:rsidR="00A04D27" w:rsidRDefault="00A04D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9F2B2" w14:textId="77777777" w:rsidR="00F62FB8" w:rsidRDefault="00F62FB8" w:rsidP="0051323D">
      <w:pPr>
        <w:spacing w:after="0" w:line="240" w:lineRule="auto"/>
      </w:pPr>
      <w:r>
        <w:separator/>
      </w:r>
    </w:p>
  </w:footnote>
  <w:footnote w:type="continuationSeparator" w:id="0">
    <w:p w14:paraId="2C6C4DBE" w14:textId="77777777" w:rsidR="00F62FB8" w:rsidRDefault="00F62FB8" w:rsidP="00513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648756"/>
      <w:docPartObj>
        <w:docPartGallery w:val="Page Numbers (Top of Page)"/>
        <w:docPartUnique/>
      </w:docPartObj>
    </w:sdtPr>
    <w:sdtEndPr/>
    <w:sdtContent>
      <w:p w14:paraId="02E1A335" w14:textId="77777777" w:rsidR="00D91426" w:rsidRDefault="00D91426" w:rsidP="00D91426">
        <w:pPr>
          <w:pStyle w:val="Zhlav"/>
        </w:pPr>
        <w:r>
          <w:rPr>
            <w:noProof/>
            <w:lang w:eastAsia="cs-CZ"/>
          </w:rPr>
          <w:drawing>
            <wp:inline distT="0" distB="0" distL="0" distR="0" wp14:anchorId="7695B014" wp14:editId="6790EEDE">
              <wp:extent cx="2258568" cy="536448"/>
              <wp:effectExtent l="0" t="0" r="0" b="0"/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ARVA_LOG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58568" cy="5364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                      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937197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937197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53ED9EF" w14:textId="77777777" w:rsidR="00DA7CA8" w:rsidRPr="000717BF" w:rsidRDefault="00DA7C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793"/>
    <w:multiLevelType w:val="hybridMultilevel"/>
    <w:tmpl w:val="AAEA453E"/>
    <w:lvl w:ilvl="0" w:tplc="6E424AB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941E0"/>
    <w:multiLevelType w:val="hybridMultilevel"/>
    <w:tmpl w:val="D1645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36722"/>
    <w:multiLevelType w:val="hybridMultilevel"/>
    <w:tmpl w:val="DB32B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31FE5"/>
    <w:multiLevelType w:val="hybridMultilevel"/>
    <w:tmpl w:val="BC9C2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F4F96"/>
    <w:multiLevelType w:val="hybridMultilevel"/>
    <w:tmpl w:val="E7BCC29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10D449C"/>
    <w:multiLevelType w:val="hybridMultilevel"/>
    <w:tmpl w:val="8E98FC7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AD6BD5"/>
    <w:multiLevelType w:val="hybridMultilevel"/>
    <w:tmpl w:val="A87C1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F2B2F"/>
    <w:multiLevelType w:val="hybridMultilevel"/>
    <w:tmpl w:val="F064F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D7D49"/>
    <w:multiLevelType w:val="hybridMultilevel"/>
    <w:tmpl w:val="7C9E4F12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6F37EA2"/>
    <w:multiLevelType w:val="hybridMultilevel"/>
    <w:tmpl w:val="CD3C00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50226"/>
    <w:multiLevelType w:val="multilevel"/>
    <w:tmpl w:val="19343F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36F76DA"/>
    <w:multiLevelType w:val="hybridMultilevel"/>
    <w:tmpl w:val="D696F34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49E50DD"/>
    <w:multiLevelType w:val="multilevel"/>
    <w:tmpl w:val="D6B0C5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5CC14FE"/>
    <w:multiLevelType w:val="hybridMultilevel"/>
    <w:tmpl w:val="96B05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A612C"/>
    <w:multiLevelType w:val="hybridMultilevel"/>
    <w:tmpl w:val="22AEB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45EE6"/>
    <w:multiLevelType w:val="multilevel"/>
    <w:tmpl w:val="70DAE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F634AA"/>
    <w:multiLevelType w:val="hybridMultilevel"/>
    <w:tmpl w:val="58924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16591"/>
    <w:multiLevelType w:val="hybridMultilevel"/>
    <w:tmpl w:val="5F106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82B6B"/>
    <w:multiLevelType w:val="hybridMultilevel"/>
    <w:tmpl w:val="85105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D63CD"/>
    <w:multiLevelType w:val="hybridMultilevel"/>
    <w:tmpl w:val="9FD895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E3D0A"/>
    <w:multiLevelType w:val="hybridMultilevel"/>
    <w:tmpl w:val="DCA44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14BFC"/>
    <w:multiLevelType w:val="hybridMultilevel"/>
    <w:tmpl w:val="68DC1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337F0"/>
    <w:multiLevelType w:val="hybridMultilevel"/>
    <w:tmpl w:val="400C93C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8935919"/>
    <w:multiLevelType w:val="hybridMultilevel"/>
    <w:tmpl w:val="CCC40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75B92"/>
    <w:multiLevelType w:val="hybridMultilevel"/>
    <w:tmpl w:val="5BCAB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47764"/>
    <w:multiLevelType w:val="hybridMultilevel"/>
    <w:tmpl w:val="27A2C6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F1206"/>
    <w:multiLevelType w:val="hybridMultilevel"/>
    <w:tmpl w:val="3368A266"/>
    <w:lvl w:ilvl="0" w:tplc="44B43AA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D5E81"/>
    <w:multiLevelType w:val="hybridMultilevel"/>
    <w:tmpl w:val="3716A50A"/>
    <w:lvl w:ilvl="0" w:tplc="84E83B4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D3780"/>
    <w:multiLevelType w:val="hybridMultilevel"/>
    <w:tmpl w:val="D3CAA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E369F"/>
    <w:multiLevelType w:val="hybridMultilevel"/>
    <w:tmpl w:val="41C0B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535566">
    <w:abstractNumId w:val="1"/>
  </w:num>
  <w:num w:numId="2" w16cid:durableId="1774352102">
    <w:abstractNumId w:val="15"/>
  </w:num>
  <w:num w:numId="3" w16cid:durableId="741759303">
    <w:abstractNumId w:val="10"/>
  </w:num>
  <w:num w:numId="4" w16cid:durableId="1974820655">
    <w:abstractNumId w:val="4"/>
  </w:num>
  <w:num w:numId="5" w16cid:durableId="199825607">
    <w:abstractNumId w:val="22"/>
  </w:num>
  <w:num w:numId="6" w16cid:durableId="480317530">
    <w:abstractNumId w:val="11"/>
  </w:num>
  <w:num w:numId="7" w16cid:durableId="389961894">
    <w:abstractNumId w:val="21"/>
  </w:num>
  <w:num w:numId="8" w16cid:durableId="1919754746">
    <w:abstractNumId w:val="12"/>
  </w:num>
  <w:num w:numId="9" w16cid:durableId="1998070946">
    <w:abstractNumId w:val="23"/>
  </w:num>
  <w:num w:numId="10" w16cid:durableId="501358230">
    <w:abstractNumId w:val="9"/>
  </w:num>
  <w:num w:numId="11" w16cid:durableId="289939332">
    <w:abstractNumId w:val="14"/>
  </w:num>
  <w:num w:numId="12" w16cid:durableId="143208719">
    <w:abstractNumId w:val="29"/>
  </w:num>
  <w:num w:numId="13" w16cid:durableId="749885411">
    <w:abstractNumId w:val="28"/>
  </w:num>
  <w:num w:numId="14" w16cid:durableId="1776099671">
    <w:abstractNumId w:val="0"/>
  </w:num>
  <w:num w:numId="15" w16cid:durableId="2105149393">
    <w:abstractNumId w:val="27"/>
  </w:num>
  <w:num w:numId="16" w16cid:durableId="1157722960">
    <w:abstractNumId w:val="26"/>
  </w:num>
  <w:num w:numId="17" w16cid:durableId="633678953">
    <w:abstractNumId w:val="20"/>
  </w:num>
  <w:num w:numId="18" w16cid:durableId="1906334418">
    <w:abstractNumId w:val="8"/>
  </w:num>
  <w:num w:numId="19" w16cid:durableId="794904314">
    <w:abstractNumId w:val="24"/>
  </w:num>
  <w:num w:numId="20" w16cid:durableId="1157913837">
    <w:abstractNumId w:val="3"/>
  </w:num>
  <w:num w:numId="21" w16cid:durableId="656881781">
    <w:abstractNumId w:val="2"/>
  </w:num>
  <w:num w:numId="22" w16cid:durableId="1362433969">
    <w:abstractNumId w:val="17"/>
  </w:num>
  <w:num w:numId="23" w16cid:durableId="194662554">
    <w:abstractNumId w:val="5"/>
  </w:num>
  <w:num w:numId="24" w16cid:durableId="1549609756">
    <w:abstractNumId w:val="16"/>
  </w:num>
  <w:num w:numId="25" w16cid:durableId="608246704">
    <w:abstractNumId w:val="13"/>
  </w:num>
  <w:num w:numId="26" w16cid:durableId="969016140">
    <w:abstractNumId w:val="7"/>
  </w:num>
  <w:num w:numId="27" w16cid:durableId="112022128">
    <w:abstractNumId w:val="25"/>
  </w:num>
  <w:num w:numId="28" w16cid:durableId="1905021128">
    <w:abstractNumId w:val="6"/>
  </w:num>
  <w:num w:numId="29" w16cid:durableId="1022826728">
    <w:abstractNumId w:val="18"/>
  </w:num>
  <w:num w:numId="30" w16cid:durableId="11110500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977"/>
    <w:rsid w:val="00011725"/>
    <w:rsid w:val="00016B9B"/>
    <w:rsid w:val="00027268"/>
    <w:rsid w:val="000533E9"/>
    <w:rsid w:val="00063EE4"/>
    <w:rsid w:val="000717BF"/>
    <w:rsid w:val="00072883"/>
    <w:rsid w:val="00095F79"/>
    <w:rsid w:val="000A673D"/>
    <w:rsid w:val="000B3ECF"/>
    <w:rsid w:val="000C17BC"/>
    <w:rsid w:val="000C6175"/>
    <w:rsid w:val="000D0B42"/>
    <w:rsid w:val="000D3B6D"/>
    <w:rsid w:val="000D6E46"/>
    <w:rsid w:val="000E7956"/>
    <w:rsid w:val="000F275C"/>
    <w:rsid w:val="001069EF"/>
    <w:rsid w:val="00107367"/>
    <w:rsid w:val="00110EA8"/>
    <w:rsid w:val="00120001"/>
    <w:rsid w:val="00125D23"/>
    <w:rsid w:val="00142FBC"/>
    <w:rsid w:val="00156A14"/>
    <w:rsid w:val="00192A1F"/>
    <w:rsid w:val="001974C9"/>
    <w:rsid w:val="001B7D7C"/>
    <w:rsid w:val="001C29B7"/>
    <w:rsid w:val="001D12F1"/>
    <w:rsid w:val="001D3E11"/>
    <w:rsid w:val="001E089D"/>
    <w:rsid w:val="001E0FEB"/>
    <w:rsid w:val="001F18B7"/>
    <w:rsid w:val="001F6BFD"/>
    <w:rsid w:val="0022345B"/>
    <w:rsid w:val="00224744"/>
    <w:rsid w:val="002252CD"/>
    <w:rsid w:val="00226F93"/>
    <w:rsid w:val="002375AA"/>
    <w:rsid w:val="00263B84"/>
    <w:rsid w:val="0026446B"/>
    <w:rsid w:val="0029644F"/>
    <w:rsid w:val="002A47AB"/>
    <w:rsid w:val="002B3FB3"/>
    <w:rsid w:val="002B4C86"/>
    <w:rsid w:val="002D0FD7"/>
    <w:rsid w:val="002E2D67"/>
    <w:rsid w:val="002E3643"/>
    <w:rsid w:val="002F2080"/>
    <w:rsid w:val="002F2BE6"/>
    <w:rsid w:val="0030764A"/>
    <w:rsid w:val="00333C97"/>
    <w:rsid w:val="00335A71"/>
    <w:rsid w:val="003400E1"/>
    <w:rsid w:val="00367776"/>
    <w:rsid w:val="00375634"/>
    <w:rsid w:val="003938FE"/>
    <w:rsid w:val="003A21B9"/>
    <w:rsid w:val="003B34A9"/>
    <w:rsid w:val="003B55CC"/>
    <w:rsid w:val="003D08E6"/>
    <w:rsid w:val="003D17B6"/>
    <w:rsid w:val="003E6E35"/>
    <w:rsid w:val="003E7416"/>
    <w:rsid w:val="003F3433"/>
    <w:rsid w:val="00422456"/>
    <w:rsid w:val="00434A27"/>
    <w:rsid w:val="004368EC"/>
    <w:rsid w:val="0045273B"/>
    <w:rsid w:val="00463288"/>
    <w:rsid w:val="0046683E"/>
    <w:rsid w:val="00473E0A"/>
    <w:rsid w:val="00496721"/>
    <w:rsid w:val="004A1E1B"/>
    <w:rsid w:val="004A37A0"/>
    <w:rsid w:val="004A404B"/>
    <w:rsid w:val="004A7E2F"/>
    <w:rsid w:val="004B6042"/>
    <w:rsid w:val="004C0ABA"/>
    <w:rsid w:val="004C3C68"/>
    <w:rsid w:val="004D3143"/>
    <w:rsid w:val="004D4B6F"/>
    <w:rsid w:val="004E6A62"/>
    <w:rsid w:val="004F10B3"/>
    <w:rsid w:val="004F2335"/>
    <w:rsid w:val="004F5634"/>
    <w:rsid w:val="0051136A"/>
    <w:rsid w:val="0051323D"/>
    <w:rsid w:val="00527412"/>
    <w:rsid w:val="0054053C"/>
    <w:rsid w:val="00543A04"/>
    <w:rsid w:val="00544DBF"/>
    <w:rsid w:val="00545F0B"/>
    <w:rsid w:val="00554E00"/>
    <w:rsid w:val="00580FCC"/>
    <w:rsid w:val="0058698F"/>
    <w:rsid w:val="00595D15"/>
    <w:rsid w:val="005C60D9"/>
    <w:rsid w:val="005F3A2A"/>
    <w:rsid w:val="005F6177"/>
    <w:rsid w:val="00601A5C"/>
    <w:rsid w:val="0060387F"/>
    <w:rsid w:val="00604B2E"/>
    <w:rsid w:val="006447A7"/>
    <w:rsid w:val="00662265"/>
    <w:rsid w:val="00664936"/>
    <w:rsid w:val="006828E4"/>
    <w:rsid w:val="006840CB"/>
    <w:rsid w:val="00691690"/>
    <w:rsid w:val="006972E5"/>
    <w:rsid w:val="006A298E"/>
    <w:rsid w:val="006A2CA7"/>
    <w:rsid w:val="006A415F"/>
    <w:rsid w:val="006E1947"/>
    <w:rsid w:val="006E3DA7"/>
    <w:rsid w:val="006F3C6F"/>
    <w:rsid w:val="006F57FC"/>
    <w:rsid w:val="00702DB0"/>
    <w:rsid w:val="007366B9"/>
    <w:rsid w:val="00743216"/>
    <w:rsid w:val="00743FA2"/>
    <w:rsid w:val="007564B3"/>
    <w:rsid w:val="007A1FAD"/>
    <w:rsid w:val="007A6057"/>
    <w:rsid w:val="007C3F9B"/>
    <w:rsid w:val="007F11D8"/>
    <w:rsid w:val="00806420"/>
    <w:rsid w:val="008260B8"/>
    <w:rsid w:val="00844313"/>
    <w:rsid w:val="00844591"/>
    <w:rsid w:val="00852A54"/>
    <w:rsid w:val="00853448"/>
    <w:rsid w:val="00861913"/>
    <w:rsid w:val="00887E1A"/>
    <w:rsid w:val="008C2798"/>
    <w:rsid w:val="008F2543"/>
    <w:rsid w:val="008F3382"/>
    <w:rsid w:val="00904A21"/>
    <w:rsid w:val="00910E37"/>
    <w:rsid w:val="00913CFA"/>
    <w:rsid w:val="009153CE"/>
    <w:rsid w:val="00925E2D"/>
    <w:rsid w:val="009306A6"/>
    <w:rsid w:val="00937197"/>
    <w:rsid w:val="0094662B"/>
    <w:rsid w:val="00956B54"/>
    <w:rsid w:val="009A0F8A"/>
    <w:rsid w:val="009A2B23"/>
    <w:rsid w:val="009C170E"/>
    <w:rsid w:val="009F7BA4"/>
    <w:rsid w:val="00A01C6E"/>
    <w:rsid w:val="00A04D27"/>
    <w:rsid w:val="00A622C7"/>
    <w:rsid w:val="00A715A5"/>
    <w:rsid w:val="00A7257C"/>
    <w:rsid w:val="00A838AA"/>
    <w:rsid w:val="00AB0895"/>
    <w:rsid w:val="00AB6174"/>
    <w:rsid w:val="00AC3193"/>
    <w:rsid w:val="00B04953"/>
    <w:rsid w:val="00B2134C"/>
    <w:rsid w:val="00B22202"/>
    <w:rsid w:val="00B23EB0"/>
    <w:rsid w:val="00B54B80"/>
    <w:rsid w:val="00B82709"/>
    <w:rsid w:val="00BF3985"/>
    <w:rsid w:val="00BF56F4"/>
    <w:rsid w:val="00BF6C92"/>
    <w:rsid w:val="00C01924"/>
    <w:rsid w:val="00C01B7E"/>
    <w:rsid w:val="00C11846"/>
    <w:rsid w:val="00C24994"/>
    <w:rsid w:val="00C2576D"/>
    <w:rsid w:val="00C60940"/>
    <w:rsid w:val="00C62605"/>
    <w:rsid w:val="00C66F52"/>
    <w:rsid w:val="00C722B9"/>
    <w:rsid w:val="00C83F47"/>
    <w:rsid w:val="00CA6A25"/>
    <w:rsid w:val="00CA79A4"/>
    <w:rsid w:val="00CB5692"/>
    <w:rsid w:val="00CC27CF"/>
    <w:rsid w:val="00CC27F9"/>
    <w:rsid w:val="00D232AA"/>
    <w:rsid w:val="00D27F90"/>
    <w:rsid w:val="00D32D82"/>
    <w:rsid w:val="00D347E0"/>
    <w:rsid w:val="00D6281D"/>
    <w:rsid w:val="00D631E9"/>
    <w:rsid w:val="00D75E99"/>
    <w:rsid w:val="00D81130"/>
    <w:rsid w:val="00D85187"/>
    <w:rsid w:val="00D91426"/>
    <w:rsid w:val="00DA1AAC"/>
    <w:rsid w:val="00DA7CA8"/>
    <w:rsid w:val="00DB07BD"/>
    <w:rsid w:val="00DC18D9"/>
    <w:rsid w:val="00DC6259"/>
    <w:rsid w:val="00DE44A8"/>
    <w:rsid w:val="00DE6BA1"/>
    <w:rsid w:val="00DF7661"/>
    <w:rsid w:val="00E043EA"/>
    <w:rsid w:val="00E0474D"/>
    <w:rsid w:val="00E0589F"/>
    <w:rsid w:val="00E10E91"/>
    <w:rsid w:val="00E128CC"/>
    <w:rsid w:val="00E152E6"/>
    <w:rsid w:val="00E21977"/>
    <w:rsid w:val="00E32EEC"/>
    <w:rsid w:val="00E46016"/>
    <w:rsid w:val="00E533F4"/>
    <w:rsid w:val="00E63E64"/>
    <w:rsid w:val="00E7359E"/>
    <w:rsid w:val="00EA5566"/>
    <w:rsid w:val="00F03029"/>
    <w:rsid w:val="00F20CAF"/>
    <w:rsid w:val="00F20FE4"/>
    <w:rsid w:val="00F2331F"/>
    <w:rsid w:val="00F47341"/>
    <w:rsid w:val="00F5166B"/>
    <w:rsid w:val="00F62FB8"/>
    <w:rsid w:val="00F93757"/>
    <w:rsid w:val="00FA4AEA"/>
    <w:rsid w:val="00FB1371"/>
    <w:rsid w:val="00FB638B"/>
    <w:rsid w:val="00FB7D8B"/>
    <w:rsid w:val="00FE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E66EC"/>
  <w15:docId w15:val="{08DE6191-2767-4099-8F8E-6FA1D743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13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323D"/>
  </w:style>
  <w:style w:type="paragraph" w:styleId="Zpat">
    <w:name w:val="footer"/>
    <w:basedOn w:val="Normln"/>
    <w:link w:val="ZpatChar"/>
    <w:uiPriority w:val="99"/>
    <w:unhideWhenUsed/>
    <w:rsid w:val="0051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323D"/>
  </w:style>
  <w:style w:type="paragraph" w:styleId="Textbubliny">
    <w:name w:val="Balloon Text"/>
    <w:basedOn w:val="Normln"/>
    <w:link w:val="TextbublinyChar"/>
    <w:uiPriority w:val="99"/>
    <w:semiHidden/>
    <w:unhideWhenUsed/>
    <w:rsid w:val="00513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2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07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72883"/>
    <w:pPr>
      <w:ind w:left="720"/>
      <w:contextualSpacing/>
    </w:pPr>
  </w:style>
  <w:style w:type="table" w:customStyle="1" w:styleId="TableGrid">
    <w:name w:val="TableGrid"/>
    <w:rsid w:val="00852A54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6AC8D-02AD-468E-B531-72584516A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2806</TotalTime>
  <Pages>6</Pages>
  <Words>1521</Words>
  <Characters>8977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Guzaničová</dc:creator>
  <cp:keywords/>
  <dc:description/>
  <cp:lastModifiedBy>Petra Sekáčová</cp:lastModifiedBy>
  <cp:revision>99</cp:revision>
  <cp:lastPrinted>2024-01-25T08:27:00Z</cp:lastPrinted>
  <dcterms:created xsi:type="dcterms:W3CDTF">2018-06-12T08:24:00Z</dcterms:created>
  <dcterms:modified xsi:type="dcterms:W3CDTF">2024-01-25T08:27:00Z</dcterms:modified>
</cp:coreProperties>
</file>